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spacing/>
        <w:jc w:val="cente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color w:val="000000"/>
          <w:sz w:val="72"/>
        </w:rPr>
      </w:pPr>
      <w:r>
        <w:rPr>
          <w:b/>
          <w:color w:val="000000"/>
          <w:sz w:val="72"/>
        </w:rPr>
        <w:t>The HIARC Bulletin</w:t>
      </w:r>
    </w:p>
    <w:p>
      <w:pPr>
        <w:spacing/>
        <w:jc w:val="cente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48"/>
        </w:rPr>
      </w:pPr>
      <w:r>
        <w:rPr>
          <w:color w:val="000000"/>
          <w:sz w:val="48"/>
        </w:rPr>
      </w:r>
    </w:p>
    <w:p>
      <w:pPr>
        <w:spacing/>
        <w:jc w:val="cente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48"/>
        </w:rPr>
      </w:pPr>
      <w:r>
        <w:rPr>
          <w:color w:val="000000"/>
          <w:sz w:val="48"/>
        </w:rPr>
        <w:t>June 2019 Edition</w:t>
      </w:r>
    </w:p>
    <w:p>
      <w:pPr>
        <w:spacing/>
        <w:jc w:val="cente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48"/>
        </w:rPr>
      </w:pPr>
      <w:r>
        <w:rPr>
          <w:color w:val="000000"/>
          <w:sz w:val="48"/>
        </w:rPr>
      </w:r>
    </w:p>
    <w:p>
      <w:pPr>
        <w:spacing/>
        <w:jc w:val="cente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color w:val="ff0000"/>
          <w:sz w:val="32"/>
          <w:u w:color="auto" w:val="single"/>
        </w:rPr>
      </w:pPr>
      <w:r>
        <w:rPr>
          <w:b/>
          <w:color w:val="ff0000"/>
          <w:sz w:val="32"/>
          <w:u w:color="auto" w:val="single"/>
        </w:rPr>
        <w:t>The Official Bulletin of the Harris-Intersil Amateur Radio Club</w:t>
      </w:r>
    </w:p>
    <w:p>
      <w:pPr>
        <w:spacing/>
        <w:jc w:val="cente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color w:val="ff0000"/>
          <w:sz w:val="32"/>
        </w:rPr>
      </w:pPr>
      <w:r>
        <w:rPr>
          <w:b/>
          <w:color w:val="ff0000"/>
          <w:sz w:val="32"/>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32"/>
        </w:rPr>
      </w:pPr>
      <w:r>
        <w:rPr>
          <w:color w:val="000000"/>
          <w:sz w:val="32"/>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b/>
          <w:color w:val="000000"/>
          <w:sz w:val="24"/>
        </w:rPr>
        <w:t>Club Meetings:</w:t>
      </w:r>
      <w:r>
        <w:rPr>
          <w:color w:val="000000"/>
          <w:sz w:val="24"/>
        </w:rPr>
        <w:t xml:space="preserve"> Second Thursday of each month at Meemaw’s Barbecue on Babcock Street between Palm Bay Road and Port Malabar Road. Supper is at 6:00 PM, business is at 7:00 PM. Our programs start at 7:30 PM. Some of the members have allergies. We ask that you refrain from wearing fragrances if at all possible thanks.</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b/>
          <w:color w:val="000000"/>
          <w:sz w:val="24"/>
        </w:rPr>
        <w:t xml:space="preserve">Club Station: </w:t>
      </w:r>
      <w:r>
        <w:rPr>
          <w:color w:val="000000"/>
          <w:sz w:val="24"/>
        </w:rPr>
        <w:t xml:space="preserve">Building 15, Room 321. E-mail </w:t>
      </w:r>
      <w:r>
        <w:rPr>
          <w:sz w:val="15"/>
        </w:rPr>
        <w:t xml:space="preserve">Butch </w:t>
      </w:r>
      <w:r>
        <w:rPr>
          <w:color w:val="000000"/>
          <w:sz w:val="24"/>
        </w:rPr>
        <w:t>for access.</w:t>
      </w: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sz w:val="24"/>
        </w:rPr>
      </w:pPr>
      <w:r>
        <w:rPr>
          <w:b/>
          <w:color w:val="000000"/>
          <w:sz w:val="24"/>
        </w:rPr>
        <w:t>HIARC Website:</w:t>
      </w:r>
      <w:r>
        <w:rPr>
          <w:color w:val="000000"/>
          <w:sz w:val="24"/>
        </w:rPr>
        <w:t xml:space="preserve"> </w:t>
      </w:r>
      <w:r>
        <w:rPr>
          <w:color w:val="1f497d"/>
          <w:sz w:val="24"/>
        </w:rPr>
        <w:t> </w:t>
      </w:r>
      <w:hyperlink r:id="rId8" w:history="1">
        <w:r>
          <w:rPr>
            <w:rStyle w:val="char1"/>
            <w:sz w:val="24"/>
          </w:rPr>
          <w:t>http://qsl.net/hiarc</w:t>
        </w:r>
      </w:hyperlink>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b/>
          <w:color w:val="000000"/>
          <w:sz w:val="24"/>
          <w:u w:color="auto" w:val="none"/>
        </w:rPr>
        <w:t xml:space="preserve">Repeaters: </w:t>
      </w:r>
      <w:r>
        <w:rPr>
          <w:rStyle w:val="char1"/>
          <w:color w:val="000000"/>
          <w:sz w:val="24"/>
          <w:u w:color="auto" w:val="none"/>
        </w:rPr>
        <w:t>145.47 Mc, tone 107.2 cycles, elevation 170 feet, Melbourne</w:t>
      </w: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rStyle w:val="char1"/>
          <w:b/>
          <w:color w:val="000000"/>
          <w:sz w:val="24"/>
          <w:u w:color="auto" w:val="none"/>
        </w:rPr>
        <w:t>HIARC Web Site:</w:t>
      </w:r>
      <w:r>
        <w:rPr>
          <w:rStyle w:val="char1"/>
          <w:color w:val="000000"/>
          <w:sz w:val="24"/>
          <w:u w:color="auto" w:val="none"/>
        </w:rPr>
        <w:t xml:space="preserve"> </w:t>
      </w:r>
      <w:hyperlink r:id="rId9" w:history="1">
        <w:r>
          <w:rPr>
            <w:rStyle w:val="char1"/>
            <w:sz w:val="24"/>
          </w:rPr>
          <w:t>www.qsl.net/hiarc</w:t>
        </w:r>
      </w:hyperlink>
      <w:r>
        <w:rPr>
          <w:color w:val="000000"/>
          <w:sz w:val="24"/>
        </w:rPr>
        <w:t>. Website administrator; Jim  KC7SSW</w:t>
      </w: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b/>
          <w:color w:val="000000"/>
          <w:sz w:val="24"/>
        </w:rPr>
        <w:t xml:space="preserve">Officers: </w:t>
      </w:r>
      <w:r>
        <w:rPr>
          <w:color w:val="000000"/>
          <w:sz w:val="24"/>
        </w:rPr>
        <w:t>President: Francis  (“Butch”), WA4AQV</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Treasurer: Bill  WA4EMU</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Secretary: None</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Repeater Chairmen: Bud  W4HXP</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Program Chairman: None</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Field Day Chairman: Bill WA4EMU</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Sunshine Officer: Open</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Club Jester: Ken N8KH</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b/>
          <w:color w:val="000000"/>
          <w:sz w:val="24"/>
        </w:rPr>
        <w:t>Membership:</w:t>
      </w: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Dues are $12.00 per year to:</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Bill  WA4EMU</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sz w:val="24"/>
        </w:rPr>
      </w:pPr>
      <w:r>
        <w:rPr>
          <w:rStyle w:val="char1"/>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sz w:val="24"/>
        </w:rPr>
      </w:pPr>
      <w:r>
        <w:rPr>
          <w:rStyle w:val="char1"/>
          <w:b/>
          <w:color w:val="000000"/>
          <w:sz w:val="24"/>
          <w:u w:color="auto" w:val="none"/>
        </w:rPr>
        <w:t xml:space="preserve">Annual Events: </w:t>
      </w:r>
      <w:r>
        <w:rPr>
          <w:rStyle w:val="char1"/>
          <w:color w:val="000000"/>
          <w:sz w:val="24"/>
          <w:u w:color="auto" w:val="none"/>
        </w:rPr>
        <w:t>Annual swap-fest at the October meeting. Field Day (always the fourth full weekend in June) at Grant Community Center Fairgrounds, Field Day web site link</w:t>
      </w:r>
      <w:r>
        <w:rPr>
          <w:rStyle w:val="char1"/>
          <w:color w:val="1f497d"/>
          <w:sz w:val="24"/>
          <w:u w:color="auto" w:val="none"/>
        </w:rPr>
        <w:t xml:space="preserve"> </w:t>
      </w:r>
      <w:hyperlink r:id="rId10" w:history="1">
        <w:r>
          <w:rPr>
            <w:rStyle w:val="char1"/>
            <w:sz w:val="24"/>
          </w:rPr>
          <w:t>https://sites.google.com/site/hiarcfieldday2013/</w:t>
        </w:r>
      </w:hyperlink>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b/>
          <w:color w:val="000000"/>
          <w:sz w:val="24"/>
          <w:u w:color="auto" w:val="none"/>
        </w:rPr>
      </w:pPr>
      <w:r>
        <w:rPr>
          <w:rStyle w:val="char1"/>
          <w:b/>
          <w:color w:val="000000"/>
          <w:sz w:val="24"/>
          <w:u w:color="auto" w:val="none"/>
        </w:rPr>
        <w:t>Selected Hamfests:</w:t>
      </w:r>
      <w:r>
        <w:rPr>
          <w:rStyle w:val="char1"/>
          <w:b/>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t>2019 Melbourne Hamfest, October 11, and 12, Melbourne Auditorium.</w:t>
      </w: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24"/>
          <w:u w:color="auto" w:val="none"/>
        </w:rPr>
      </w:pPr>
      <w:r>
        <w:rPr>
          <w:rStyle w:val="char1"/>
          <w:color w:val="000000"/>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b/>
          <w:color w:val="000000"/>
          <w:sz w:val="24"/>
          <w:u w:color="auto" w:val="none"/>
        </w:rPr>
      </w:pPr>
      <w:r>
        <w:rPr>
          <w:rStyle w:val="char1"/>
          <w:b/>
          <w:color w:val="000000"/>
          <w:sz w:val="24"/>
          <w:u w:color="auto" w:val="none"/>
        </w:rPr>
        <w:t>Ham Radio Lunches:</w:t>
      </w:r>
      <w:r>
        <w:rPr>
          <w:rStyle w:val="char1"/>
          <w:b/>
          <w:color w:val="000000"/>
          <w:sz w:val="24"/>
          <w:u w:color="auto" w:val="none"/>
        </w:rPr>
      </w:r>
    </w:p>
    <w:p>
      <w:pPr>
        <w:numPr>
          <w:ilvl w:val="0"/>
          <w:numId w:val="1"/>
        </w:numPr>
        <w:ind w:left="283" w:hanging="283"/>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15"/>
          <w:u w:color="auto" w:val="none"/>
        </w:rPr>
      </w:pPr>
      <w:r>
        <w:rPr>
          <w:rStyle w:val="char1"/>
          <w:color w:val="000000"/>
          <w:sz w:val="24"/>
          <w:u w:color="auto" w:val="none"/>
        </w:rPr>
        <w:t>Every Friday, 10:30 AM till 12:30 PM or so, Golden Corral on Palm Bay Road in Palm Bay</w:t>
      </w:r>
      <w:r>
        <w:rPr>
          <w:rStyle w:val="char1"/>
          <w:color w:val="000000"/>
          <w:sz w:val="15"/>
          <w:u w:color="auto" w:val="none"/>
        </w:rPr>
      </w:r>
    </w:p>
    <w:p>
      <w:pPr>
        <w:numPr>
          <w:ilvl w:val="0"/>
          <w:numId w:val="1"/>
        </w:numPr>
        <w:ind w:left="283" w:hanging="283"/>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15"/>
          <w:u w:color="auto" w:val="none"/>
        </w:rPr>
      </w:pPr>
      <w:r>
        <w:rPr>
          <w:rStyle w:val="char1"/>
          <w:color w:val="000000"/>
          <w:sz w:val="15"/>
          <w:u w:color="auto" w:val="none"/>
        </w:rPr>
        <w:t xml:space="preserve"> </w:t>
      </w:r>
      <w:r>
        <w:rPr>
          <w:rStyle w:val="char1"/>
          <w:color w:val="000000"/>
          <w:sz w:val="24"/>
          <w:u w:color="auto" w:val="none"/>
        </w:rPr>
        <w:t>Every Friday, 9:00 AM till 11:00AM or so, Umpa's Diner,</w:t>
      </w:r>
      <w:hyperlink r:id="rId11" w:history="1">
        <w:r>
          <w:rPr>
            <w:rStyle w:val="char1"/>
            <w:sz w:val="24"/>
          </w:rPr>
          <w:t>1115 N Courtenay Pkwy, Merritt Island, FL</w:t>
        </w:r>
      </w:hyperlink>
      <w:r>
        <w:rPr>
          <w:color w:val="000000"/>
          <w:sz w:val="24"/>
        </w:rPr>
        <w:t xml:space="preserve"> 3295, (321) 454-3422</w:t>
      </w:r>
    </w:p>
    <w:p>
      <w:pPr>
        <w:numPr>
          <w:ilvl w:val="0"/>
          <w:numId w:val="1"/>
        </w:numPr>
        <w:ind w:left="283" w:hanging="283"/>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000000"/>
          <w:sz w:val="15"/>
          <w:u w:color="auto" w:val="none"/>
        </w:rPr>
      </w:pPr>
      <w:r>
        <w:rPr>
          <w:rStyle w:val="char1"/>
          <w:color w:val="000000"/>
          <w:sz w:val="15"/>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color w:val="000000"/>
          <w:sz w:val="28"/>
        </w:rPr>
      </w:pPr>
      <w:r>
        <w:rPr>
          <w:b/>
          <w:color w:val="000000"/>
          <w:sz w:val="28"/>
        </w:rPr>
        <w:t>President's Message</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 xml:space="preserve">The HIARC ARRL 2019 Field Day will be June 22 and 23 at The Grant Community Park / Seafood Festival Grounds in Grant, FL. All are invited. Flyer is pasted, here is a map link : </w:t>
      </w:r>
      <w:hyperlink r:id="rId12" w:history="1">
        <w:r>
          <w:rPr>
            <w:rStyle w:val="char1"/>
            <w:sz w:val="24"/>
          </w:rPr>
          <w:t>https://www.google.com/maps/@27.9290826,-80.5303419,164m/data=!3m1!1e3</w:t>
        </w:r>
      </w:hyperlink>
      <w:r>
        <w:rPr>
          <w:sz w:val="24"/>
        </w:rPr>
        <w:t xml:space="preserve">. HIARC will be class 2A. Food and drinks provided. More information about Field Day: </w:t>
      </w:r>
      <w:r>
        <w:rPr>
          <w:color w:val="000000"/>
          <w:sz w:val="24"/>
        </w:rPr>
        <w:t> </w:t>
      </w:r>
      <w:hyperlink r:id="rId13" w:history="1">
        <w:r>
          <w:rPr>
            <w:rStyle w:val="char1"/>
            <w:sz w:val="24"/>
          </w:rPr>
          <w:t>http://www.arrl.org/files/file/Field-Day/2019/2019-Field-Day-Packet-Complete.pdf</w:t>
        </w:r>
      </w:hyperlink>
      <w:r>
        <w:rPr>
          <w:color w:val="000000"/>
          <w:sz w:val="24"/>
        </w:rPr>
        <w:t xml:space="preserve"> . See amateur radio operators in action!</w:t>
      </w: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Our next monthly HIARC meeting is Thursday June 13. The meeting program will be completion of Noise and Interference by Ed Messer and an overview of the new eLoran navigation system the US Government is implementing. Lots of Meemaw’s Barbecue food and door prizes as well.</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73's</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Butch WA4AQV</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bCs/>
          <w:color w:val="000000"/>
          <w:sz w:val="28"/>
          <w:szCs w:val="28"/>
        </w:rPr>
      </w:pPr>
      <w:r>
        <w:rPr>
          <w:b/>
          <w:bCs/>
          <w:color w:val="000000"/>
          <w:sz w:val="28"/>
          <w:szCs w:val="28"/>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color w:val="000000"/>
          <w:sz w:val="28"/>
          <w:szCs w:val="28"/>
        </w:rPr>
      </w:pPr>
      <w:r>
        <w:rPr>
          <w:rFonts w:eastAsia="Times New Roman"/>
          <w:b/>
          <w:bCs/>
          <w:color w:val="000000"/>
          <w:sz w:val="28"/>
          <w:szCs w:val="28"/>
        </w:rPr>
        <w:t>Field Day Announcement</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sz w:val="24"/>
          <w:szCs w:val="24"/>
        </w:rPr>
      </w:pPr>
      <w:r>
        <w:rPr>
          <w:rFonts w:eastAsia="Times New Roman"/>
          <w:color w:val="000000"/>
          <w:sz w:val="24"/>
          <w:szCs w:val="24"/>
        </w:rPr>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 xml:space="preserve">The 2019 hurricane season is here and amateur radio operators in Florida prepare as part of a national communications Field Day exercise, June 22-23, sponsored by the American Radio Relay League.  Since 1933, amateur radio operators across North America have established temporary radio stations during Field Day to practice emergency communications skills and demonstrate Amateur Radio operations to the public.  Over 35,000 people from thousands of locations participate in Field Day each year.  Members of the Harris-Intersil Amateur Radio Club (HIARC) will be operating in the national Amateur Radio Field Day exercise at the Grant Seafood Festival grounds, 4580 1st Street, Grant, Florida.  </w:t>
      </w:r>
      <w:r>
        <w:rPr>
          <w:rFonts w:eastAsia="Times New Roman"/>
          <w:kern w:val="0"/>
          <w:sz w:val="24"/>
          <w:szCs w:val="24"/>
          <w:lang w:eastAsia="ar-sa"/>
        </w:rPr>
        <w:t>This event is open to the public and all are invited to attend</w:t>
      </w:r>
      <w:r>
        <w:rPr>
          <w:rFonts w:eastAsia="Times New Roman"/>
          <w:color w:val="000000"/>
          <w:kern w:val="0"/>
          <w:sz w:val="24"/>
          <w:szCs w:val="24"/>
          <w:lang w:eastAsia="ar-sa"/>
        </w:rPr>
        <w:t>.</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333333"/>
          <w:kern w:val="0"/>
          <w:sz w:val="24"/>
          <w:szCs w:val="24"/>
          <w:lang w:eastAsia="ar-sa"/>
        </w:rPr>
        <w:t>Field Day provides the opportunity to practice for an emergency in a relaxed</w:t>
      </w:r>
      <w:r>
        <w:rPr>
          <w:rFonts w:eastAsia="Times New Roman"/>
          <w:b/>
          <w:bCs/>
          <w:color w:val="333333"/>
          <w:kern w:val="0"/>
          <w:sz w:val="24"/>
          <w:szCs w:val="24"/>
          <w:lang w:eastAsia="ar-sa"/>
        </w:rPr>
        <w:t xml:space="preserve"> </w:t>
      </w:r>
      <w:r>
        <w:rPr>
          <w:rFonts w:eastAsia="Times New Roman"/>
          <w:color w:val="333333"/>
          <w:kern w:val="0"/>
          <w:sz w:val="24"/>
          <w:szCs w:val="24"/>
          <w:lang w:eastAsia="ar-sa"/>
        </w:rPr>
        <w:t>and</w:t>
      </w:r>
      <w:r>
        <w:rPr>
          <w:rFonts w:eastAsia="Times New Roman"/>
          <w:b/>
          <w:bCs/>
          <w:color w:val="333333"/>
          <w:kern w:val="0"/>
          <w:sz w:val="24"/>
          <w:szCs w:val="24"/>
          <w:lang w:eastAsia="ar-sa"/>
        </w:rPr>
        <w:t xml:space="preserve"> FUN</w:t>
      </w:r>
      <w:r>
        <w:rPr>
          <w:rFonts w:eastAsia="Times New Roman"/>
          <w:color w:val="333333"/>
          <w:kern w:val="0"/>
          <w:sz w:val="24"/>
          <w:szCs w:val="24"/>
          <w:lang w:eastAsia="ar-sa"/>
        </w:rPr>
        <w:t xml:space="preserve"> envrionment.  </w:t>
      </w:r>
      <w:r>
        <w:rPr>
          <w:rFonts w:eastAsia="Times New Roman"/>
          <w:color w:val="000000"/>
          <w:kern w:val="0"/>
          <w:sz w:val="24"/>
          <w:szCs w:val="24"/>
          <w:lang w:eastAsia="ar-sa"/>
        </w:rPr>
        <w:t xml:space="preserve">The HIARC station will be operating from 2:00 PM Saturday, June 22 to 2:00 PM Sunday, June 23.  </w:t>
      </w:r>
      <w:r>
        <w:rPr>
          <w:rFonts w:eastAsia="Times New Roman"/>
          <w:color w:val="333333"/>
          <w:kern w:val="0"/>
          <w:sz w:val="24"/>
          <w:szCs w:val="24"/>
          <w:lang w:eastAsia="ar-sa"/>
        </w:rPr>
        <w:t xml:space="preserve">Information displays will explain </w:t>
      </w:r>
      <w:r>
        <w:rPr>
          <w:rFonts w:eastAsia="Times New Roman"/>
          <w:color w:val="000000"/>
          <w:kern w:val="0"/>
          <w:sz w:val="24"/>
          <w:szCs w:val="24"/>
          <w:lang w:eastAsia="ar-sa"/>
        </w:rPr>
        <w:t>how to get an amateur radio license, setup a station and get on the air.  Come on out and join us!  We invite you to visit our location and learn about amateur radio.  Checkout the website “http://www.arrl.org/field-day-locator” for directions to our FD site as well as others in our area.</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 </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For further information contact:</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 </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sz w:val="24"/>
          <w:szCs w:val="24"/>
        </w:rPr>
      </w:pPr>
      <w:r>
        <w:rPr>
          <w:rFonts w:eastAsia="Times New Roman"/>
          <w:color w:val="000000"/>
          <w:kern w:val="0"/>
          <w:sz w:val="24"/>
          <w:szCs w:val="24"/>
          <w:lang w:eastAsia="ar-sa"/>
        </w:rPr>
        <w:t xml:space="preserve">Bill </w:t>
      </w:r>
      <w:r>
        <w:rPr>
          <w:rFonts w:eastAsia="Times New Roman"/>
          <w:color w:val="000000"/>
          <w:sz w:val="24"/>
          <w:szCs w:val="24"/>
        </w:rPr>
        <w:t>WA4EMU</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HIARC Field Day Chairman</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 </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sz w:val="24"/>
          <w:szCs w:val="24"/>
        </w:rPr>
      </w:pPr>
      <w:r>
        <w:rPr>
          <w:rFonts w:eastAsia="Times New Roman"/>
          <w:color w:val="000000"/>
          <w:kern w:val="0"/>
          <w:sz w:val="24"/>
          <w:szCs w:val="24"/>
          <w:lang w:eastAsia="ar-sa"/>
        </w:rPr>
        <w:t xml:space="preserve">Francis </w:t>
      </w:r>
      <w:r>
        <w:rPr>
          <w:rFonts w:eastAsia="Times New Roman"/>
          <w:color w:val="000000"/>
          <w:sz w:val="24"/>
          <w:szCs w:val="24"/>
        </w:rPr>
        <w:t>WA4AQV</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color w:val="000000"/>
          <w:kern w:val="0"/>
          <w:sz w:val="24"/>
          <w:szCs w:val="24"/>
          <w:lang w:eastAsia="ar-sa"/>
        </w:rPr>
      </w:pPr>
      <w:r>
        <w:rPr>
          <w:rFonts w:eastAsia="Times New Roman"/>
          <w:color w:val="000000"/>
          <w:kern w:val="0"/>
          <w:sz w:val="24"/>
          <w:szCs w:val="24"/>
          <w:lang w:eastAsia="ar-sa"/>
        </w:rPr>
        <w:t>HIARC General Chairman</w:t>
      </w:r>
    </w:p>
    <w:p>
      <w:pPr>
        <w:spacing w:line="100" w:lineRule="atLeast"/>
        <w:suppressAutoHyphens/>
        <w:hyphenationLines w:val="0"/>
        <w:widowControl/>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kern w:val="0"/>
          <w:sz w:val="24"/>
          <w:szCs w:val="24"/>
          <w:lang w:eastAsia="ar-sa"/>
        </w:rPr>
      </w:pPr>
      <w:r>
        <w:rPr>
          <w:rFonts w:eastAsia="Times New Roman"/>
          <w:kern w:val="0"/>
          <w:sz w:val="24"/>
          <w:szCs w:val="24"/>
          <w:lang w:eastAsia="ar-sa"/>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color w:val="000000"/>
          <w:sz w:val="28"/>
        </w:rPr>
      </w:pPr>
      <w:r>
        <w:rPr>
          <w:b/>
          <w:color w:val="000000"/>
          <w:sz w:val="28"/>
        </w:rPr>
        <w:t>New Florida Texting While Driving Law</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 xml:space="preserve">Here is the text of the newly enacted Florida Texting While Driving Law: </w:t>
      </w:r>
      <w:hyperlink r:id="rId14" w:history="1">
        <w:r>
          <w:rPr>
            <w:rStyle w:val="char1"/>
            <w:sz w:val="15"/>
          </w:rPr>
          <w:t>http://www.leg.state.fl.us/statutes/index.cfm?App_mode=Display_Statute&amp;URL=0300-0399/0316/Sections/0316.305.html</w:t>
        </w:r>
      </w:hyperlink>
      <w:r>
        <w:rPr>
          <w:color w:val="000000"/>
          <w:sz w:val="24"/>
        </w:rPr>
        <w:t>. It does not seem to affect most types of amateur radio mobile operation.</w:t>
      </w: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t>Butch WA4AQV</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color w:val="000000"/>
          <w:sz w:val="24"/>
        </w:rPr>
      </w:pPr>
      <w:r>
        <w:rPr>
          <w:color w:val="000000"/>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sz w:val="28"/>
        </w:rPr>
      </w:pPr>
      <w:r>
        <w:rPr>
          <w:b/>
          <w:sz w:val="28"/>
        </w:rPr>
        <w:t>Upcoming Skywarn Classes for East Central Florida</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15"/>
        </w:rPr>
      </w:pPr>
      <w:r>
        <w:rPr>
          <w:sz w:val="15"/>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t>A list of Skyward classes currently scheduled in East Central Florida is attached. Note that classes for Brevard County aren't scheduled until mid-August, a month before the peak of hurricane season. </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t>73,</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t>Paul  NØJAA</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t>HIARC BEARS/Skywarn Representative</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szCs w:val="24"/>
        </w:rPr>
      </w:pPr>
      <w:r>
        <w:rPr>
          <w:sz w:val="24"/>
          <w:szCs w:val="24"/>
        </w:rPr>
        <w:t>Our Field Day Filters</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15"/>
        </w:rPr>
      </w:pPr>
      <w:r>
        <w:rPr>
          <w:sz w:val="15"/>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sz w:val="28"/>
        </w:rPr>
      </w:pPr>
      <w:r>
        <w:rPr>
          <w:b/>
          <w:sz w:val="28"/>
        </w:rPr>
        <w:t>Free Antenna Book</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sz w:val="24"/>
        </w:rPr>
      </w:pPr>
      <w:r>
        <w:rPr>
          <w:sz w:val="24"/>
        </w:rPr>
        <w:t xml:space="preserve">Last month we featured a free link to the famous Antennas Theory And Design textbook by Constantine Balanis at Arizona State University: </w:t>
      </w:r>
      <w:hyperlink r:id="rId15" w:history="1">
        <w:r>
          <w:rPr>
            <w:rStyle w:val="char1"/>
            <w:sz w:val="24"/>
          </w:rPr>
          <w:t>https://archive.org/details/Antenna.Theory.Analysis.and.Design3rd.Edition/page/n7</w:t>
        </w:r>
      </w:hyperlink>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u w:color="auto" w:val="none"/>
        </w:rPr>
      </w:pPr>
      <w:r>
        <w:rPr>
          <w:rStyle w:val="char1"/>
          <w:color w:val="auto"/>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rStyle w:val="char1"/>
          <w:color w:val="auto"/>
          <w:sz w:val="24"/>
          <w:u w:color="auto" w:val="none"/>
        </w:rPr>
        <w:t xml:space="preserve">Professor Balanis also wrote a graduate text on electromagnetics. Here is free link to that: </w:t>
      </w:r>
      <w:hyperlink r:id="rId16" w:history="1">
        <w:r>
          <w:rPr>
            <w:rStyle w:val="char1"/>
            <w:sz w:val="24"/>
          </w:rPr>
          <w:t>https://zackrauen.com/PublicFiles/School/Textbooks/EE381_FieldsAndWaves.pdf</w:t>
        </w:r>
      </w:hyperlink>
      <w:r>
        <w:rPr>
          <w:sz w:val="24"/>
        </w:rPr>
        <w:t>. Now you have the set.</w:t>
      </w: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t>Butch WA4AQV</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sz w:val="28"/>
        </w:rPr>
      </w:pPr>
      <w:r>
        <w:rPr>
          <w:b/>
          <w:sz w:val="28"/>
        </w:rPr>
        <w:t>The Slinky Dipole Antenna</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t>The Slinky Dipole is a reduced size HF dipole antenna using you guessed, two slinky springs on a taught rope. The Slinky springs make inexpensive loading coils in the 40 to 100 microhenry range. Attached is a 1976 ad for Slinky antenna in 73 Magazine (remember 73 Magazine?). Usually there are some Slinky Dipoles for sale on the internet and of course you can make your own. Bare steel is 40 times less conductive than copper plated steel so copper plated or brass springs may have less conductor loss although longer Slinky antennas steel is fine.</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t xml:space="preserve">The first stretchable spring antenna seems to have been by Franklyn McKenzie with his April 20, 1926 “Stretchable Spring Dipole” Patent. Link to see: </w:t>
      </w:r>
      <w:hyperlink r:id="rId17" w:history="1">
        <w:r>
          <w:rPr>
            <w:rStyle w:val="char1"/>
            <w:sz w:val="24"/>
          </w:rPr>
          <w:t>https://pdfpiw.uspto.gov/.piw?Docid=01581133&amp;homeurl=http%3A%2F%2Fpatft.uspto.gov%2Fnetacgi%2Fnph-Parser%3FSect2%3DPTO1%2526Sect2%3DHITOFF%2526p%3D1%2526u%3D%25252Fnetahtml%25252FPTO%25252Fsearch-bool.html%2526r%3D1%2526f%3DG%2526l%3D50%2526d%3DPALL%2526S1%3D1581133.PN.%2526OS%3DPN%2F1581133%2526RS%3DPN%2F1581133&amp;PageNum=&amp;Rtype=&amp;SectionNum=&amp;idkey=NONE&amp;Input=View+first+page</w:t>
        </w:r>
      </w:hyperlink>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noProof/>
        </w:rPr>
        <w:drawing>
          <wp:anchor distT="114300" distB="114300" distL="114300" distR="114300" simplePos="0" relativeHeight="251658252" behindDoc="0" locked="0" layoutInCell="0" hidden="0" allowOverlap="1">
            <wp:simplePos x="0" y="0"/>
            <wp:positionH relativeFrom="page">
              <wp:posOffset>914400</wp:posOffset>
            </wp:positionH>
            <wp:positionV relativeFrom="page">
              <wp:posOffset>5234305</wp:posOffset>
            </wp:positionV>
            <wp:extent cx="2952750" cy="3715385"/>
            <wp:effectExtent l="0" t="0" r="0" b="0"/>
            <wp:wrapSquare wrapText="bothSides"/>
            <wp:docPr id="12" name="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1"/>
                    <pic:cNvPicPr>
                      <a:picLocks noChangeAspect="1"/>
                      <a:extLst>
                        <a:ext uri="smNativeData">
                          <sm:smNativeData xmlns:sm="smNativeData" val="SMDATA_17_+sX/XB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AIIAAAAAAAAAAAAAAAAAAAAAAACgBQAAAAAAAAAAAAAzIAAAKhIAANsWAAADAAAAoAUAADMgAAAoAAAACAAAAAEAAAABAAAA"/>
                        </a:ext>
                      </a:extLst>
                    </pic:cNvPicPr>
                  </pic:nvPicPr>
                  <pic:blipFill>
                    <a:blip r:embed="rId18"/>
                    <a:stretch>
                      <a:fillRect/>
                    </a:stretch>
                  </pic:blipFill>
                  <pic:spPr>
                    <a:xfrm>
                      <a:off x="0" y="0"/>
                      <a:ext cx="2952750" cy="3715385"/>
                    </a:xfrm>
                    <a:prstGeom prst="rect">
                      <a:avLst/>
                    </a:prstGeom>
                    <a:noFill/>
                    <a:ln w="12700">
                      <a:noFill/>
                    </a:ln>
                  </pic:spPr>
                </pic:pic>
              </a:graphicData>
            </a:graphic>
          </wp:anchor>
        </w:drawing>
      </w:r>
      <w:r>
        <w:rPr>
          <w:sz w:val="24"/>
        </w:rPr>
        <w:t xml:space="preserve">The Slinky dipole design is impressive for simplicity and ease of manufacture. A US patent application was filed on a Spring On A Rope version in November 1973. The US patent issued to the inventor, Sidney Arnow. No word on his call letters. Here is a link to view the patent: </w:t>
      </w:r>
      <w:hyperlink r:id="rId17" w:history="1">
        <w:r>
          <w:rPr>
            <w:rStyle w:val="char1"/>
            <w:sz w:val="24"/>
          </w:rPr>
          <w:t>https://pdfpiw.uspto.gov/.piw?PageNum=0&amp;docid=03858220&amp;IDKey=EF0480A7B12E%0D%0A&amp;HomeUrl=http%3A%2F%2Fpatft.uspto.gov%2Fnetacgi%2Fnph-Parser%3FSect1%3DPTO2%2526Sect2%3DHITOFF%2526u%3D%25252Fnetahtml%25252FPTO%25252Fsearch-adv.htm%2526r%3D1%2526p%3D1%2526f%3DG%2526l%3D50%2526d%3DPALL%2526S1%3D3858220.PN.%2526OS%3Dpn%2F3858220%2526RS%3DPN%2F3858220</w:t>
        </w:r>
      </w:hyperlink>
      <w:r>
        <w:rPr>
          <w:sz w:val="24"/>
        </w:rPr>
        <w:t xml:space="preserve">. Clearly in 1973 Sidney Arnow added the rope, the method of tuning, the compressed spring pitch on he ends, the balun and other features. The Slinky itself was invented in 1940 </w:t>
      </w:r>
      <w:hyperlink r:id="rId19" w:history="1">
        <w:r>
          <w:rPr>
            <w:rStyle w:val="char1"/>
            <w:sz w:val="24"/>
          </w:rPr>
          <w:t>https://en.wikipedia.org/wiki/Slinky</w:t>
        </w:r>
      </w:hyperlink>
      <w:r>
        <w:rPr>
          <w:sz w:val="24"/>
        </w:rPr>
        <w:t>.</w:t>
      </w: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t>There are many possible variations regards tuning. In the Arnow patent the Slinky turns are bunched up near the ends of the dipole. This was a good approach for broad tuning range and to pull the current further out on the dipole arms for better efficiency. Doing otherwise, by say forming a constant winding pitch helix out from the antenna center creates the competing factors of 1) compressing the coil increases coil inductance to reduce frequency and 2) compressing coil shape decreases the antenna length to raise frequency, so the constant winding pitch approach may have a limited tuning range. Of course jumper wires and coil taps can be used as well.</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t>In 1974 there was a slinky dipole article in QST attached. Tuning of this version is by drooping end wires.</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sz w:val="28"/>
        </w:rPr>
      </w:pPr>
      <w:r>
        <w:rPr>
          <w:b/>
          <w:sz w:val="28"/>
        </w:rPr>
        <w:t>Inexpensive 24 GHz Amateur Radio</w:t>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sz w:val="24"/>
        </w:rPr>
      </w:pPr>
      <w:r>
        <w:rPr>
          <w:sz w:val="24"/>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sz w:val="24"/>
          <w:szCs w:val="24"/>
        </w:rPr>
      </w:pPr>
      <w:r>
        <w:rPr>
          <w:sz w:val="24"/>
          <w:szCs w:val="24"/>
        </w:rPr>
        <w:t xml:space="preserve">Cheap 24GHz Doppler Radars can form the basis for amateur microwave communications. Here is a technical explanation </w:t>
      </w:r>
      <w:hyperlink r:id="rId20" w:history="1">
        <w:r>
          <w:rPr>
            <w:rStyle w:val="char1"/>
            <w:sz w:val="24"/>
            <w:szCs w:val="24"/>
          </w:rPr>
          <w:t>https://www.YouTube.com/watch?reload=9&amp;v=5vqSX40seqA</w:t>
        </w:r>
      </w:hyperlink>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t>The radar units mentioned could be used for communications in exactly the same way a Gunnplexers were used in the past: with an audio modulated power supply, providing you know the approximate IF frequency needed and have a tunable WBFM receiver for an IF.</w:t>
      </w:r>
      <w:r>
        <w:rPr>
          <w:rStyle w:val="char1"/>
          <w:color w:val="auto"/>
          <w:sz w:val="24"/>
          <w:szCs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t>73,</w:t>
      </w:r>
      <w:r>
        <w:rPr>
          <w:rStyle w:val="char1"/>
          <w:color w:val="auto"/>
          <w:sz w:val="24"/>
          <w:szCs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t>Ken N8KH</w:t>
      </w:r>
      <w:r>
        <w:rPr>
          <w:rStyle w:val="char1"/>
          <w:color w:val="auto"/>
          <w:sz w:val="24"/>
          <w:szCs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rStyle w:val="char1"/>
          <w:color w:val="auto"/>
          <w:sz w:val="24"/>
          <w:szCs w:val="24"/>
          <w:u w:color="auto" w:val="none"/>
        </w:rPr>
        <w:t>PS The unit in the video was at 23.9 GHz, below the amateur band. It would probably be possible to move it higher in frequency using a knife to trim the oscillator feedback filter.</w:t>
      </w:r>
    </w:p>
    <w:p>
      <w:r/>
      <w:r>
        <w:br w:type="page"/>
      </w:r>
    </w:p>
    <w:p>
      <w:r>
        <w:rPr>
          <w:noProof/>
        </w:rPr>
        <w:drawing>
          <wp:anchor distT="114300" distB="2193925" distL="114300" distR="114300" simplePos="0" relativeHeight="251658253" behindDoc="0" locked="0" layoutInCell="0" hidden="0" allowOverlap="1">
            <wp:simplePos x="0" y="0"/>
            <wp:positionH relativeFrom="page">
              <wp:posOffset>914400</wp:posOffset>
            </wp:positionH>
            <wp:positionV relativeFrom="page">
              <wp:posOffset>-825500</wp:posOffset>
            </wp:positionV>
            <wp:extent cx="638175" cy="825500"/>
            <wp:effectExtent l="0" t="0" r="0" b="0"/>
            <wp:wrapSquare wrapText="bothSides"/>
            <wp:docPr id="13" name="Pict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2"/>
                    <pic:cNvPicPr>
                      <a:picLocks noChangeAspect="1"/>
                      <a:extLst>
                        <a:ext uri="smNativeData">
                          <sm:smNativeData xmlns:sm="smNativeData" val="SMDATA_17_+sX/XB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0AAAAAIIAAAAAAAAAAAAAAAAAAAAAAACgBQAAAAAAAAAAAADs+v//7QMAABQFAAAFAAAAoAUAAOz6//8oAAAACAAAAAEAAAABAAAA"/>
                        </a:ext>
                      </a:extLst>
                    </pic:cNvPicPr>
                  </pic:nvPicPr>
                  <pic:blipFill>
                    <a:blip r:embed="rId21"/>
                    <a:stretch>
                      <a:fillRect/>
                    </a:stretch>
                  </pic:blipFill>
                  <pic:spPr>
                    <a:xfrm>
                      <a:off x="0" y="0"/>
                      <a:ext cx="638175" cy="825500"/>
                    </a:xfrm>
                    <a:prstGeom prst="rect">
                      <a:avLst/>
                    </a:prstGeom>
                    <a:noFill/>
                    <a:ln w="12700">
                      <a:noFill/>
                    </a:ln>
                  </pic:spPr>
                </pic:pic>
              </a:graphicData>
            </a:graphic>
          </wp:anchor>
        </w:drawing>
      </w:r>
      <w:r>
        <w:rPr>
          <w:noProof/>
        </w:rPr>
        <w:drawing>
          <wp:anchor distT="114300" distB="9080500" distL="114300" distR="4638675" simplePos="0" relativeHeight="251658254" behindDoc="0" locked="0" layoutInCell="0" hidden="0" allowOverlap="1">
            <wp:simplePos x="0" y="0"/>
            <wp:positionH relativeFrom="page">
              <wp:posOffset>983615</wp:posOffset>
            </wp:positionH>
            <wp:positionV relativeFrom="page">
              <wp:posOffset>1123315</wp:posOffset>
            </wp:positionV>
            <wp:extent cx="5846445" cy="7566660"/>
            <wp:effectExtent l="0" t="0" r="0" b="0"/>
            <wp:wrapSquare wrapText="bothSides"/>
            <wp:docPr id="14" name="Pict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3"/>
                    <pic:cNvPicPr>
                      <a:picLocks noChangeAspect="1"/>
                      <a:extLst>
                        <a:ext uri="smNativeData">
                          <sm:smNativeData xmlns:sm="smNativeData" val="SMDATA_17_+sX/XB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0AAAAAIIAAAAAAAAAAAAAAAAAAAAAAAANBgAAAAAAAAAAAADpBgAA9yMAAIwuAAAFAAAADQYAAOkGAAAoAAAACAAAAAEAAAABAAAA"/>
                        </a:ext>
                      </a:extLst>
                    </pic:cNvPicPr>
                  </pic:nvPicPr>
                  <pic:blipFill>
                    <a:blip r:embed="rId21"/>
                    <a:stretch>
                      <a:fillRect/>
                    </a:stretch>
                  </pic:blipFill>
                  <pic:spPr>
                    <a:xfrm>
                      <a:off x="0" y="0"/>
                      <a:ext cx="5846445" cy="7566660"/>
                    </a:xfrm>
                    <a:prstGeom prst="rect">
                      <a:avLst/>
                    </a:prstGeom>
                    <a:noFill/>
                    <a:ln w="12700">
                      <a:noFill/>
                    </a:ln>
                  </pic:spPr>
                </pic:pic>
              </a:graphicData>
            </a:graphic>
          </wp:anchor>
        </w:drawing>
      </w:r>
      <w:r/>
      <w:r>
        <w:br w:type="page"/>
      </w:r>
    </w:p>
    <w:p>
      <w:r>
        <w:rPr>
          <w:noProof/>
        </w:rPr>
        <w:drawing>
          <wp:anchor distT="114300" distB="4506595" distL="114300" distR="4321810" simplePos="0" relativeHeight="251658255" behindDoc="0" locked="0" layoutInCell="0" hidden="0" allowOverlap="1">
            <wp:simplePos x="0" y="0"/>
            <wp:positionH relativeFrom="page">
              <wp:posOffset>1028700</wp:posOffset>
            </wp:positionH>
            <wp:positionV relativeFrom="page">
              <wp:posOffset>1077595</wp:posOffset>
            </wp:positionV>
            <wp:extent cx="5756910" cy="7448550"/>
            <wp:effectExtent l="0" t="0" r="0" b="0"/>
            <wp:wrapSquare wrapText="bothSides"/>
            <wp:docPr id="15" name="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4"/>
                    <pic:cNvPicPr>
                      <a:picLocks noChangeAspect="1"/>
                      <a:extLst>
                        <a:ext uri="smNativeData">
                          <sm:smNativeData xmlns:sm="smNativeData" val="SMDATA_17_+sX/XB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1AAAAAIIAAAAAAAAAAAAAAAAAAAAAAABUBgAAAAAAAAAAAAChBgAAaiMAANItAAAGAAAAVAYAAKEGAAAoAAAACAAAAAEAAAABAAAA"/>
                        </a:ext>
                      </a:extLst>
                    </pic:cNvPicPr>
                  </pic:nvPicPr>
                  <pic:blipFill>
                    <a:blip r:embed="rId22"/>
                    <a:stretch>
                      <a:fillRect/>
                    </a:stretch>
                  </pic:blipFill>
                  <pic:spPr>
                    <a:xfrm>
                      <a:off x="0" y="0"/>
                      <a:ext cx="5756910" cy="7448550"/>
                    </a:xfrm>
                    <a:prstGeom prst="rect">
                      <a:avLst/>
                    </a:prstGeom>
                    <a:noFill/>
                    <a:ln w="12700">
                      <a:noFill/>
                    </a:ln>
                  </pic:spPr>
                </pic:pic>
              </a:graphicData>
            </a:graphic>
          </wp:anchor>
        </w:drawing>
      </w:r>
      <w:r/>
      <w:r>
        <w:br w:type="page"/>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szCs w:val="24"/>
          <w:u w:color="auto" w:val="none"/>
        </w:rPr>
      </w:pPr>
      <w:r>
        <w:rPr>
          <w:noProof/>
        </w:rPr>
        <w:drawing>
          <wp:anchor distT="114300" distB="114300" distL="114300" distR="114300" simplePos="0" relativeHeight="251658256" behindDoc="0" locked="0" layoutInCell="0" hidden="0" allowOverlap="1">
            <wp:simplePos x="0" y="0"/>
            <wp:positionH relativeFrom="page">
              <wp:posOffset>914400</wp:posOffset>
            </wp:positionH>
            <wp:positionV relativeFrom="page">
              <wp:posOffset>-3696335</wp:posOffset>
            </wp:positionV>
            <wp:extent cx="2856230" cy="3696335"/>
            <wp:effectExtent l="0" t="0" r="0" b="0"/>
            <wp:wrapSquare wrapText="bothSides"/>
            <wp:docPr id="16" name="Pict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5"/>
                    <pic:cNvPicPr>
                      <a:picLocks noChangeAspect="1"/>
                      <a:extLst>
                        <a:ext uri="smNativeData">
                          <sm:smNativeData xmlns:sm="smNativeData" val="SMDATA_17_+sX/XB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2AAAAAIIAAAAAAAAAAAAAAAAAAAAAAACgBQAAAAAAAAAAAABD6f//khEAAL0WAAAHAAAAoAUAAEPp//8oAAAACAAAAAEAAAABAAAA"/>
                        </a:ext>
                      </a:extLst>
                    </pic:cNvPicPr>
                  </pic:nvPicPr>
                  <pic:blipFill>
                    <a:blip r:embed="rId23"/>
                    <a:stretch>
                      <a:fillRect/>
                    </a:stretch>
                  </pic:blipFill>
                  <pic:spPr>
                    <a:xfrm>
                      <a:off x="0" y="0"/>
                      <a:ext cx="2856230" cy="3696335"/>
                    </a:xfrm>
                    <a:prstGeom prst="rect">
                      <a:avLst/>
                    </a:prstGeom>
                    <a:noFill/>
                    <a:ln w="12700">
                      <a:noFill/>
                    </a:ln>
                  </pic:spPr>
                </pic:pic>
              </a:graphicData>
            </a:graphic>
          </wp:anchor>
        </w:drawing>
      </w:r>
      <w:r>
        <w:rPr>
          <w:noProof/>
        </w:rPr>
        <w:drawing>
          <wp:anchor distT="114300" distB="114300" distL="114300" distR="114300" simplePos="0" relativeHeight="251658257" behindDoc="0" locked="0" layoutInCell="0" hidden="0" allowOverlap="1">
            <wp:simplePos x="0" y="0"/>
            <wp:positionH relativeFrom="page">
              <wp:posOffset>914400</wp:posOffset>
            </wp:positionH>
            <wp:positionV relativeFrom="page">
              <wp:posOffset>1151890</wp:posOffset>
            </wp:positionV>
            <wp:extent cx="5836920" cy="7553325"/>
            <wp:effectExtent l="0" t="0" r="0" b="0"/>
            <wp:wrapSquare wrapText="bothSides"/>
            <wp:docPr id="17" name="Pictur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6"/>
                    <pic:cNvPicPr>
                      <a:picLocks noChangeAspect="1"/>
                      <a:extLst>
                        <a:ext uri="smNativeData">
                          <sm:smNativeData xmlns:sm="smNativeData" val="SMDATA_17_+sX/XB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2AAAAAIIAAAAAAAAAAAAAAAAAAAAAAACgBQAAAAAAAAAAAAAWBwAA6CMAAHcuAAAHAAAAoAUAABYHAAAoAAAACAAAAAEAAAABAAAA"/>
                        </a:ext>
                      </a:extLst>
                    </pic:cNvPicPr>
                  </pic:nvPicPr>
                  <pic:blipFill>
                    <a:blip r:embed="rId23"/>
                    <a:stretch>
                      <a:fillRect/>
                    </a:stretch>
                  </pic:blipFill>
                  <pic:spPr>
                    <a:xfrm>
                      <a:off x="0" y="0"/>
                      <a:ext cx="5836920" cy="7553325"/>
                    </a:xfrm>
                    <a:prstGeom prst="rect">
                      <a:avLst/>
                    </a:prstGeom>
                    <a:noFill/>
                    <a:ln w="12700">
                      <a:noFill/>
                    </a:ln>
                  </pic:spPr>
                </pic:pic>
              </a:graphicData>
            </a:graphic>
          </wp:anchor>
        </w:drawing>
      </w:r>
      <w:r>
        <w:rPr>
          <w:rStyle w:val="char1"/>
          <w:color w:val="auto"/>
          <w:sz w:val="24"/>
          <w:szCs w:val="24"/>
          <w:u w:color="auto" w:val="none"/>
        </w:rPr>
      </w:r>
    </w:p>
    <w:tbl>
      <w:tblPr>
        <w:name w:val="Table1"/>
        <w:tabOrder w:val="0"/>
        <w:jc w:val="center"/>
        <w:tblInd w:w="0" w:type="dxa"/>
        <w:tblW w:w="10785" w:type="dxa"/>
      </w:tblPr>
      <w:tblGrid>
        <w:gridCol w:w="10785"/>
      </w:tblGrid>
      <w:tr>
        <w:trPr>
          <w:tblHeader w:val="0"/>
          <w:cantSplit w:val="0"/>
          <w:trHeight w:val="0" w:hRule="auto"/>
        </w:trPr>
        <w:tc>
          <w:tcPr>
            <w:tcW w:w="10785" w:type="dxa"/>
            <w:shd w:val="none"/>
            <w:tcMar>
              <w:top w:w="55" w:type="dxa"/>
              <w:left w:w="55" w:type="dxa"/>
              <w:bottom w:w="55" w:type="dxa"/>
              <w:right w:w="55" w:type="dxa"/>
            </w:tcMar>
            <w:tcBorders>
              <w:top w:val="nil" w:sz="0" w:space="0" w:color="000000" tmln="20, 20, 20, 0, 0"/>
              <w:left w:val="nil" w:sz="0" w:space="0" w:color="000000" tmln="20, 20, 20, 0, 0"/>
              <w:bottom w:val="nil" w:sz="0" w:space="0" w:color="000000" tmln="20, 20, 20, 0, 0"/>
              <w:right w:val="nil" w:sz="0"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83CAFF" tmshd="1677721856, 0, 16763523"/>
              <w:rPr>
                <w:rFonts w:ascii="Calibri" w:hAnsi="Calibri" w:eastAsia="Arial Unicode MS" w:cs="Calibri"/>
                <w:b/>
                <w:sz w:val="28"/>
                <w:szCs w:val="28"/>
                <w:lang w:eastAsia="ar-sa"/>
              </w:rPr>
            </w:pPr>
            <w:r>
              <w:rPr>
                <w:rFonts w:ascii="Calibri" w:hAnsi="Calibri" w:eastAsia="Arial Unicode MS" w:cs="Calibri"/>
                <w:b/>
                <w:sz w:val="28"/>
                <w:szCs w:val="28"/>
                <w:lang w:eastAsia="ar-sa"/>
              </w:rPr>
              <w:t>East Central Florida SKYWARN Training</w:t>
            </w:r>
          </w:p>
          <w:p>
            <w:pPr>
              <w:ind w:right="-90"/>
              <w:spacing w:line="100" w:lineRule="atLeast"/>
              <w:jc w:val="center"/>
              <w:suppressAutoHyphens/>
              <w:hyphenationLines w:val="0"/>
              <w:widowControl/>
              <w:tabs defTabSz="709">
                <w:tab w:val="left" w:pos="4995" w:leader="none"/>
              </w:tabs>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83CAFF" tmshd="1677721856, 0, 16763523"/>
              <w:rPr>
                <w:rFonts w:ascii="Calibri" w:hAnsi="Calibri" w:eastAsia="Arial Unicode MS" w:cs="Calibri"/>
                <w:b/>
                <w:sz w:val="28"/>
                <w:szCs w:val="28"/>
                <w:lang w:eastAsia="ar-sa"/>
              </w:rPr>
            </w:pPr>
            <w:r>
              <w:rPr>
                <w:rFonts w:ascii="Calibri" w:hAnsi="Calibri" w:eastAsia="Arial Unicode MS" w:cs="Calibri"/>
                <w:b/>
                <w:sz w:val="28"/>
                <w:szCs w:val="28"/>
                <w:lang w:eastAsia="ar-sa"/>
              </w:rPr>
              <w:t>National Weather Service Melbourne, FL</w:t>
            </w:r>
          </w:p>
          <w:p>
            <w:pPr>
              <w:spacing w:before="100" w:after="100"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83CAFF" tmshd="1677721856, 0, 16763523"/>
              <w:rPr>
                <w:rFonts w:eastAsia="Times New Roman"/>
                <w:i/>
                <w:iCs/>
                <w:sz w:val="24"/>
                <w:szCs w:val="24"/>
                <w:lang w:eastAsia="ar-sa"/>
              </w:rPr>
            </w:pPr>
            <w:r>
              <w:rPr>
                <w:rFonts w:eastAsia="Times New Roman"/>
                <w:i/>
                <w:iCs/>
                <w:sz w:val="24"/>
                <w:szCs w:val="24"/>
                <w:lang w:eastAsia="ar-sa"/>
              </w:rPr>
              <w:t xml:space="preserve">Serving Brevard, Indian River, Lake, Martin, St. Lucie, </w:t>
              <w:br w:type="textWrapping"/>
              <w:t>Seminole, Okeechobee, Orange, Osceola and Volusia Counties.</w:t>
            </w:r>
          </w:p>
          <w:p>
            <w:pPr>
              <w:spacing w:line="100" w:lineRule="atLeast"/>
              <w:jc w:val="both"/>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83CAFF" tmshd="1677721856, 0, 16763523"/>
              <w:rPr>
                <w:rFonts w:eastAsia="Times New Roman"/>
                <w:b/>
                <w:bCs/>
                <w:color w:val="0000ff"/>
                <w:sz w:val="22"/>
                <w:szCs w:val="22"/>
                <w:u w:color="auto" w:val="single"/>
                <w:lang w:eastAsia="ar-sa"/>
              </w:rPr>
            </w:pPr>
            <w:r>
              <w:rPr>
                <w:rFonts w:eastAsia="Times New Roman"/>
                <w:sz w:val="22"/>
                <w:szCs w:val="22"/>
                <w:lang w:eastAsia="ar-sa"/>
              </w:rPr>
              <w:t xml:space="preserve">The following schedule reflects the dates, times and locations of upcoming SKYWARN spotter classes and other hazardous weather presentations. This schedule will be modified regularly as new talks are added. Most of the talks are open to the public and all interested parties are encouraged to attend (any exceptions will be noted below). The presentations generally last two hours in length and are free. Please pre-register via the link(s) below if you would like to attend. Weather Spotter registration will be completed at the class. A National Weather Service meteorologist will discuss various aspects of severe weather, storm spotting, and severe weather safety. At least one SKYWARN spotter class is taught within each county every year - with two or more classes typically conducted within most counties. Please direct any questions about SKYWARN training classes and other hazardous weather presentations within </w:t>
            </w:r>
            <w:hyperlink r:id="rId24" w:history="1">
              <w:r>
                <w:rPr>
                  <w:rStyle w:val="char1"/>
                  <w:rFonts w:eastAsia="Arial Unicode MS"/>
                  <w:sz w:val="22"/>
                  <w:szCs w:val="22"/>
                  <w:lang w:eastAsia="ar-sa"/>
                </w:rPr>
                <w:t>east central Florida</w:t>
              </w:r>
            </w:hyperlink>
            <w:r>
              <w:rPr>
                <w:rFonts w:eastAsia="Times New Roman"/>
                <w:sz w:val="22"/>
                <w:szCs w:val="22"/>
                <w:lang w:eastAsia="ar-sa"/>
              </w:rPr>
              <w:t xml:space="preserve"> to </w:t>
            </w:r>
            <w:hyperlink r:id="rId25" w:history="1">
              <w:r>
                <w:rPr>
                  <w:rStyle w:val="char1"/>
                  <w:rFonts w:eastAsia="Arial Unicode MS"/>
                  <w:sz w:val="22"/>
                  <w:szCs w:val="22"/>
                  <w:lang w:eastAsia="ar-sa"/>
                </w:rPr>
                <w:t>scott.spratt@noaa.gov</w:t>
              </w:r>
            </w:hyperlink>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83CAFF" tmshd="1677721856, 0, 16763523"/>
              <w:rPr>
                <w:rFonts w:eastAsia="Times New Roman"/>
                <w:b/>
                <w:bCs/>
                <w:color w:val="7f7f7f"/>
                <w:sz w:val="24"/>
                <w:szCs w:val="24"/>
                <w:lang w:eastAsia="ar-sa"/>
              </w:rPr>
            </w:pPr>
            <w:r>
              <w:rPr>
                <w:rFonts w:eastAsia="Times New Roman"/>
                <w:b/>
                <w:bCs/>
                <w:color w:val="7f7f7f"/>
                <w:sz w:val="24"/>
                <w:szCs w:val="24"/>
                <w:lang w:eastAsia="ar-sa"/>
              </w:rPr>
              <w:t>Schedule updated May 9, 2019</w:t>
            </w:r>
          </w:p>
        </w:tc>
      </w:tr>
    </w:tbl>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tbl>
      <w:tblPr>
        <w:name w:val="Table2"/>
        <w:tabOrder w:val="0"/>
        <w:jc w:val="center"/>
        <w:tblInd w:w="0" w:type="dxa"/>
        <w:tblW w:w="10830" w:type="dxa"/>
      </w:tblPr>
      <w:tblGrid>
        <w:gridCol w:w="1440"/>
        <w:gridCol w:w="1620"/>
        <w:gridCol w:w="1260"/>
        <w:gridCol w:w="1170"/>
        <w:gridCol w:w="5340"/>
      </w:tblGrid>
      <w:tr>
        <w:trPr>
          <w:tblHeader w:val="0"/>
          <w:cantSplit w:val="0"/>
          <w:trHeight w:val="0" w:hRule="auto"/>
        </w:trPr>
        <w:tc>
          <w:tcPr>
            <w:tcW w:w="1440" w:type="dxa"/>
            <w:shd w:val="solid" w:color="5B9BD5" tmshd="1677721856, 0, 13998939"/>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Date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2019</w:t>
            </w:r>
          </w:p>
        </w:tc>
        <w:tc>
          <w:tcPr>
            <w:tcW w:w="1620" w:type="dxa"/>
            <w:shd w:val="solid" w:color="5B9BD5" tmshd="1677721856, 0, 13998939"/>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City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(County)</w:t>
            </w:r>
          </w:p>
        </w:tc>
        <w:tc>
          <w:tcPr>
            <w:tcW w:w="1260" w:type="dxa"/>
            <w:shd w:val="solid" w:color="5B9BD5" tmshd="1677721856, 0, 13998939"/>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Class</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Time</w:t>
            </w:r>
          </w:p>
        </w:tc>
        <w:tc>
          <w:tcPr>
            <w:tcW w:w="1170" w:type="dxa"/>
            <w:shd w:val="solid" w:color="5B9BD5" tmshd="1677721856, 0, 13998939"/>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Class</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Type</w:t>
            </w:r>
          </w:p>
        </w:tc>
        <w:tc>
          <w:tcPr>
            <w:tcW w:w="5340" w:type="dxa"/>
            <w:shd w:val="solid" w:color="5B9BD5" tmshd="1677721856, 0, 13998939"/>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Location</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sz w:val="24"/>
                <w:szCs w:val="24"/>
                <w:lang w:eastAsia="ar-sa"/>
              </w:rPr>
            </w:pPr>
            <w:r>
              <w:rPr>
                <w:rFonts w:ascii="Calibri" w:hAnsi="Calibri" w:eastAsia="Arial Unicode MS" w:cs="Calibri"/>
                <w:b/>
                <w:sz w:val="24"/>
                <w:szCs w:val="24"/>
                <w:lang w:eastAsia="ar-sa"/>
              </w:rPr>
              <w:t>Additional Details</w:t>
            </w:r>
          </w:p>
        </w:tc>
      </w:tr>
      <w:tr>
        <w:trPr>
          <w:tblHeader w:val="0"/>
          <w:cantSplit w:val="0"/>
          <w:trHeight w:val="0" w:hRule="auto"/>
        </w:trPr>
        <w:tc>
          <w:tcPr>
            <w:tcW w:w="1440" w:type="dxa"/>
            <w:shd w:val="none"/>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Monday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May 13</w:t>
            </w:r>
          </w:p>
        </w:tc>
        <w:tc>
          <w:tcPr>
            <w:tcW w:w="162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Winter Park</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(Orange)</w:t>
            </w:r>
          </w:p>
        </w:tc>
        <w:tc>
          <w:tcPr>
            <w:tcW w:w="126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2"/>
                <w:szCs w:val="22"/>
                <w:lang w:eastAsia="ar-sa"/>
              </w:rPr>
            </w:pPr>
            <w:r>
              <w:rPr>
                <w:rFonts w:ascii="Calibri" w:hAnsi="Calibri" w:eastAsia="Arial Unicode MS" w:cs="Calibri"/>
                <w:b/>
                <w:color w:val="00007f"/>
                <w:sz w:val="22"/>
                <w:szCs w:val="22"/>
                <w:lang w:eastAsia="ar-sa"/>
              </w:rPr>
              <w:t>700-900 pm</w:t>
            </w:r>
          </w:p>
        </w:tc>
        <w:tc>
          <w:tcPr>
            <w:tcW w:w="117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Basic</w:t>
            </w:r>
          </w:p>
        </w:tc>
        <w:tc>
          <w:tcPr>
            <w:tcW w:w="534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Orange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6590 Amory Court, Winter Park</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2"/>
                <w:szCs w:val="22"/>
              </w:rPr>
            </w:pPr>
            <w:hyperlink r:id="rId26" w:history="1">
              <w:r>
                <w:rPr>
                  <w:rStyle w:val="char1"/>
                  <w:rFonts w:ascii="Calibri" w:hAnsi="Calibri" w:eastAsia="Arial Unicode MS" w:cs="Calibri"/>
                  <w:sz w:val="22"/>
                  <w:szCs w:val="22"/>
                </w:rPr>
                <w:t>https://skywarn-winter-park-basic-051319.eventbrite.com</w:t>
              </w:r>
            </w:hyperlink>
          </w:p>
        </w:tc>
      </w:tr>
      <w:tr>
        <w:trPr>
          <w:tblHeader w:val="0"/>
          <w:cantSplit w:val="0"/>
          <w:trHeight w:val="0" w:hRule="auto"/>
        </w:trPr>
        <w:tc>
          <w:tcPr>
            <w:tcW w:w="1440" w:type="dxa"/>
            <w:shd w:val="solid" w:color="BFBFBF" tmshd="1677721856, 0, 12566463"/>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Saturday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July 13</w:t>
            </w:r>
          </w:p>
        </w:tc>
        <w:tc>
          <w:tcPr>
            <w:tcW w:w="162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Tavares</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(Lake)</w:t>
            </w:r>
          </w:p>
        </w:tc>
        <w:tc>
          <w:tcPr>
            <w:tcW w:w="126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2"/>
                <w:szCs w:val="22"/>
                <w:lang w:eastAsia="ar-sa"/>
              </w:rPr>
            </w:pPr>
            <w:r>
              <w:rPr>
                <w:rFonts w:ascii="Calibri" w:hAnsi="Calibri" w:eastAsia="Arial Unicode MS" w:cs="Calibri"/>
                <w:b/>
                <w:color w:val="00007f"/>
                <w:sz w:val="22"/>
                <w:szCs w:val="22"/>
                <w:lang w:eastAsia="ar-sa"/>
              </w:rPr>
              <w:t>930-1130 am</w:t>
            </w:r>
          </w:p>
        </w:tc>
        <w:tc>
          <w:tcPr>
            <w:tcW w:w="117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Basic</w:t>
            </w:r>
          </w:p>
        </w:tc>
        <w:tc>
          <w:tcPr>
            <w:tcW w:w="534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Lake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425 W. Alfred Street, Tavares</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hyperlink r:id="rId27" w:history="1">
              <w:r>
                <w:rPr>
                  <w:rStyle w:val="char1"/>
                  <w:rFonts w:ascii="Calibri" w:hAnsi="Calibri" w:eastAsia="Arial Unicode MS" w:cs="Calibri"/>
                  <w:sz w:val="22"/>
                  <w:szCs w:val="22"/>
                </w:rPr>
                <w:t>https://skywarn-tavares-basic-071319.eventbrite.com</w:t>
              </w:r>
            </w:hyperlink>
          </w:p>
        </w:tc>
      </w:tr>
      <w:tr>
        <w:trPr>
          <w:tblHeader w:val="0"/>
          <w:cantSplit w:val="0"/>
          <w:trHeight w:val="0" w:hRule="auto"/>
        </w:trPr>
        <w:tc>
          <w:tcPr>
            <w:tcW w:w="1440" w:type="dxa"/>
            <w:shd w:val="none"/>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Saturday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July 13</w:t>
            </w:r>
          </w:p>
        </w:tc>
        <w:tc>
          <w:tcPr>
            <w:tcW w:w="162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Tavares</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(Lake)</w:t>
            </w:r>
          </w:p>
        </w:tc>
        <w:tc>
          <w:tcPr>
            <w:tcW w:w="126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2"/>
                <w:szCs w:val="22"/>
                <w:lang w:eastAsia="ar-sa"/>
              </w:rPr>
            </w:pPr>
            <w:r>
              <w:rPr>
                <w:rFonts w:ascii="Calibri" w:hAnsi="Calibri" w:eastAsia="Arial Unicode MS" w:cs="Calibri"/>
                <w:b/>
                <w:color w:val="00007f"/>
                <w:sz w:val="22"/>
                <w:szCs w:val="22"/>
                <w:lang w:eastAsia="ar-sa"/>
              </w:rPr>
              <w:t>1230-230 pm</w:t>
            </w:r>
          </w:p>
        </w:tc>
        <w:tc>
          <w:tcPr>
            <w:tcW w:w="117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Advanced</w:t>
            </w:r>
          </w:p>
        </w:tc>
        <w:tc>
          <w:tcPr>
            <w:tcW w:w="534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Lake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425 W. Alfred Street, Tavares</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hyperlink r:id="rId28" w:history="1">
              <w:r>
                <w:rPr>
                  <w:rStyle w:val="char1"/>
                  <w:rFonts w:ascii="Calibri" w:hAnsi="Calibri" w:eastAsia="Arial Unicode MS" w:cs="Calibri"/>
                  <w:sz w:val="22"/>
                  <w:szCs w:val="22"/>
                </w:rPr>
                <w:t>https://skywarn-tavares-advanced-071319.eventbrite.com</w:t>
              </w:r>
            </w:hyperlink>
          </w:p>
        </w:tc>
      </w:tr>
      <w:tr>
        <w:trPr>
          <w:tblHeader w:val="0"/>
          <w:cantSplit w:val="0"/>
          <w:trHeight w:val="0" w:hRule="auto"/>
        </w:trPr>
        <w:tc>
          <w:tcPr>
            <w:tcW w:w="1440" w:type="dxa"/>
            <w:shd w:val="solid" w:color="BFBFBF" tmshd="1677721856, 0, 12566463"/>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Friday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July 19</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r>
          </w:p>
        </w:tc>
        <w:tc>
          <w:tcPr>
            <w:tcW w:w="162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Ft. Pierce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(St. Lucie)</w:t>
            </w:r>
          </w:p>
        </w:tc>
        <w:tc>
          <w:tcPr>
            <w:tcW w:w="126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2"/>
                <w:szCs w:val="22"/>
                <w:lang w:eastAsia="ar-sa"/>
              </w:rPr>
            </w:pPr>
            <w:r>
              <w:rPr>
                <w:rFonts w:ascii="Calibri" w:hAnsi="Calibri" w:eastAsia="Arial Unicode MS" w:cs="Calibri"/>
                <w:b/>
                <w:color w:val="00007f"/>
                <w:sz w:val="22"/>
                <w:szCs w:val="22"/>
                <w:lang w:eastAsia="ar-sa"/>
              </w:rPr>
              <w:t>10am-noon</w:t>
            </w:r>
          </w:p>
        </w:tc>
        <w:tc>
          <w:tcPr>
            <w:tcW w:w="117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Basic</w:t>
            </w:r>
          </w:p>
        </w:tc>
        <w:tc>
          <w:tcPr>
            <w:tcW w:w="534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St. Lucie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15305 Midway Road, Ft. Pierce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hyperlink r:id="rId29" w:history="1">
              <w:r>
                <w:rPr>
                  <w:rStyle w:val="char1"/>
                  <w:rFonts w:ascii="Calibri" w:hAnsi="Calibri" w:eastAsia="Arial Unicode MS" w:cs="Calibri"/>
                  <w:sz w:val="22"/>
                  <w:szCs w:val="22"/>
                </w:rPr>
                <w:t>https://skywarn-fort-pierce-basic-071919.eventbrite.com</w:t>
              </w:r>
            </w:hyperlink>
          </w:p>
        </w:tc>
      </w:tr>
      <w:tr>
        <w:trPr>
          <w:tblHeader w:val="0"/>
          <w:cantSplit w:val="0"/>
          <w:trHeight w:val="0" w:hRule="auto"/>
        </w:trPr>
        <w:tc>
          <w:tcPr>
            <w:tcW w:w="1440" w:type="dxa"/>
            <w:shd w:val="none"/>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Friday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July 19</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r>
          </w:p>
        </w:tc>
        <w:tc>
          <w:tcPr>
            <w:tcW w:w="162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Ft. Pierce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(St. Lucie)</w:t>
            </w:r>
          </w:p>
        </w:tc>
        <w:tc>
          <w:tcPr>
            <w:tcW w:w="126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2"/>
                <w:szCs w:val="22"/>
                <w:lang w:eastAsia="ar-sa"/>
              </w:rPr>
            </w:pPr>
            <w:r>
              <w:rPr>
                <w:rFonts w:ascii="Calibri" w:hAnsi="Calibri" w:eastAsia="Arial Unicode MS" w:cs="Calibri"/>
                <w:b/>
                <w:color w:val="00007f"/>
                <w:sz w:val="22"/>
                <w:szCs w:val="22"/>
                <w:lang w:eastAsia="ar-sa"/>
              </w:rPr>
              <w:t>100-300 pm</w:t>
            </w:r>
          </w:p>
        </w:tc>
        <w:tc>
          <w:tcPr>
            <w:tcW w:w="117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Advanced</w:t>
            </w:r>
          </w:p>
        </w:tc>
        <w:tc>
          <w:tcPr>
            <w:tcW w:w="534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St. Lucie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15305 Midway Road, Ft. Pierce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rPr>
            </w:pPr>
            <w:hyperlink r:id="rId30" w:history="1">
              <w:r>
                <w:rPr>
                  <w:rStyle w:val="char1"/>
                  <w:rFonts w:ascii="Calibri" w:hAnsi="Calibri" w:eastAsia="Arial Unicode MS" w:cs="Calibri"/>
                </w:rPr>
                <w:t>https://skywarn-fort-pierce-advanced-071919.eventbrite.com</w:t>
              </w:r>
            </w:hyperlink>
          </w:p>
        </w:tc>
      </w:tr>
      <w:tr>
        <w:trPr>
          <w:tblHeader w:val="0"/>
          <w:cantSplit w:val="0"/>
          <w:trHeight w:val="0" w:hRule="auto"/>
        </w:trPr>
        <w:tc>
          <w:tcPr>
            <w:tcW w:w="1440" w:type="dxa"/>
            <w:shd w:val="solid" w:color="BFBFBF" tmshd="1677721856, 0, 12566463"/>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Saturday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August 24</w:t>
            </w:r>
          </w:p>
        </w:tc>
        <w:tc>
          <w:tcPr>
            <w:tcW w:w="162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Rockledge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(Brevard)</w:t>
            </w:r>
          </w:p>
        </w:tc>
        <w:tc>
          <w:tcPr>
            <w:tcW w:w="126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2"/>
                <w:szCs w:val="22"/>
                <w:lang w:eastAsia="ar-sa"/>
              </w:rPr>
            </w:pPr>
            <w:r>
              <w:rPr>
                <w:rFonts w:ascii="Calibri" w:hAnsi="Calibri" w:eastAsia="Arial Unicode MS" w:cs="Calibri"/>
                <w:b/>
                <w:color w:val="00007f"/>
                <w:sz w:val="22"/>
                <w:szCs w:val="22"/>
                <w:lang w:eastAsia="ar-sa"/>
              </w:rPr>
              <w:t>900-1100 am</w:t>
            </w:r>
          </w:p>
        </w:tc>
        <w:tc>
          <w:tcPr>
            <w:tcW w:w="117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Basic</w:t>
            </w:r>
          </w:p>
        </w:tc>
        <w:tc>
          <w:tcPr>
            <w:tcW w:w="534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Brevard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1746 Cedar Street, Rockledge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2"/>
                <w:szCs w:val="22"/>
              </w:rPr>
            </w:pPr>
            <w:hyperlink r:id="rId31" w:history="1">
              <w:r>
                <w:rPr>
                  <w:rStyle w:val="char1"/>
                  <w:rFonts w:ascii="Calibri" w:hAnsi="Calibri" w:eastAsia="Arial Unicode MS" w:cs="Calibri"/>
                  <w:sz w:val="22"/>
                  <w:szCs w:val="22"/>
                </w:rPr>
                <w:t>https://skywarn-rockledge-basic-082419.eventbrite.com</w:t>
              </w:r>
            </w:hyperlink>
          </w:p>
        </w:tc>
      </w:tr>
      <w:tr>
        <w:trPr>
          <w:tblHeader w:val="0"/>
          <w:cantSplit w:val="0"/>
          <w:trHeight w:val="0" w:hRule="auto"/>
        </w:trPr>
        <w:tc>
          <w:tcPr>
            <w:tcW w:w="1440" w:type="dxa"/>
            <w:shd w:val="none"/>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Saturday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August 24</w:t>
            </w:r>
          </w:p>
        </w:tc>
        <w:tc>
          <w:tcPr>
            <w:tcW w:w="162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Rockledge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(Brevard)</w:t>
            </w:r>
          </w:p>
        </w:tc>
        <w:tc>
          <w:tcPr>
            <w:tcW w:w="126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1"/>
                <w:szCs w:val="21"/>
                <w:lang w:eastAsia="ar-sa"/>
              </w:rPr>
            </w:pPr>
            <w:r>
              <w:rPr>
                <w:rFonts w:ascii="Calibri" w:hAnsi="Calibri" w:eastAsia="Arial Unicode MS" w:cs="Calibri"/>
                <w:b/>
                <w:color w:val="00007f"/>
                <w:sz w:val="21"/>
                <w:szCs w:val="21"/>
                <w:lang w:eastAsia="ar-sa"/>
              </w:rPr>
              <w:t>Noon-200 pm</w:t>
            </w:r>
          </w:p>
        </w:tc>
        <w:tc>
          <w:tcPr>
            <w:tcW w:w="117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Advanced</w:t>
            </w:r>
          </w:p>
        </w:tc>
        <w:tc>
          <w:tcPr>
            <w:tcW w:w="534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Brevard County Emergency Operations Center</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1746 Cedar Street, Rockledge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1"/>
                <w:szCs w:val="21"/>
              </w:rPr>
            </w:pPr>
            <w:hyperlink r:id="rId32" w:history="1">
              <w:r>
                <w:rPr>
                  <w:rStyle w:val="char1"/>
                  <w:rFonts w:ascii="Calibri" w:hAnsi="Calibri" w:eastAsia="Arial Unicode MS" w:cs="Calibri"/>
                  <w:sz w:val="21"/>
                  <w:szCs w:val="21"/>
                </w:rPr>
                <w:t>https://skywarn-rockledge-advanced-082419.eventbrite.com</w:t>
              </w:r>
            </w:hyperlink>
          </w:p>
        </w:tc>
      </w:tr>
      <w:tr>
        <w:trPr>
          <w:tblHeader w:val="0"/>
          <w:cantSplit w:val="0"/>
          <w:trHeight w:val="0" w:hRule="auto"/>
        </w:trPr>
        <w:tc>
          <w:tcPr>
            <w:tcW w:w="1440" w:type="dxa"/>
            <w:shd w:val="solid" w:color="BFBFBF" tmshd="1677721856, 0, 12566463"/>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Tuesday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October 22</w:t>
            </w:r>
          </w:p>
        </w:tc>
        <w:tc>
          <w:tcPr>
            <w:tcW w:w="162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Port St. Lucie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(St. Lucie)</w:t>
            </w:r>
          </w:p>
        </w:tc>
        <w:tc>
          <w:tcPr>
            <w:tcW w:w="126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1"/>
                <w:szCs w:val="21"/>
                <w:lang w:eastAsia="ar-sa"/>
              </w:rPr>
            </w:pPr>
            <w:r>
              <w:rPr>
                <w:rFonts w:ascii="Calibri" w:hAnsi="Calibri" w:eastAsia="Arial Unicode MS" w:cs="Calibri"/>
                <w:b/>
                <w:color w:val="00007f"/>
                <w:sz w:val="21"/>
                <w:szCs w:val="21"/>
                <w:lang w:eastAsia="ar-sa"/>
              </w:rPr>
              <w:t>10am-noon</w:t>
            </w:r>
          </w:p>
        </w:tc>
        <w:tc>
          <w:tcPr>
            <w:tcW w:w="117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Basic</w:t>
            </w:r>
          </w:p>
        </w:tc>
        <w:tc>
          <w:tcPr>
            <w:tcW w:w="5340" w:type="dxa"/>
            <w:shd w:val="solid" w:color="BFBFBF" tmshd="1677721856, 0, 12566463"/>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Port St. Lucie Community Center, Room A</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2195 Southeast Airoso Boulevard, Port St. Lucie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hyperlink r:id="rId33" w:history="1">
              <w:r>
                <w:rPr>
                  <w:rStyle w:val="char1"/>
                  <w:rFonts w:ascii="Calibri" w:hAnsi="Calibri" w:eastAsia="Arial Unicode MS" w:cs="Calibri"/>
                  <w:sz w:val="21"/>
                  <w:szCs w:val="21"/>
                </w:rPr>
                <w:t>https://skywarn-PSL-basic-102219.eventbrite.com</w:t>
              </w:r>
            </w:hyperlink>
          </w:p>
        </w:tc>
      </w:tr>
      <w:tr>
        <w:trPr>
          <w:tblHeader w:val="0"/>
          <w:cantSplit w:val="0"/>
          <w:trHeight w:val="0" w:hRule="auto"/>
        </w:trPr>
        <w:tc>
          <w:tcPr>
            <w:tcW w:w="1440" w:type="dxa"/>
            <w:shd w:val="none"/>
            <w:tcMar>
              <w:top w:w="0" w:type="dxa"/>
              <w:left w:w="0" w:type="dxa"/>
              <w:bottom w:w="0" w:type="dxa"/>
              <w:right w:w="0" w:type="dxa"/>
            </w:tcMar>
            <w:tcBorders>
              <w:top w:val="single" w:sz="8" w:space="0" w:color="000000" tmln="20, 20, 20, 0, 0"/>
              <w:left w:val="single" w:sz="8" w:space="0" w:color="000000" tmln="20,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Tuesday</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November 5</w:t>
            </w:r>
          </w:p>
        </w:tc>
        <w:tc>
          <w:tcPr>
            <w:tcW w:w="162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Port St. Lucie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ar-sa"/>
              </w:rPr>
            </w:pPr>
            <w:r>
              <w:rPr>
                <w:rFonts w:ascii="Calibri" w:hAnsi="Calibri" w:eastAsia="Arial Unicode MS" w:cs="Calibri"/>
                <w:sz w:val="24"/>
                <w:szCs w:val="24"/>
                <w:lang w:eastAsia="ar-sa"/>
              </w:rPr>
              <w:t>(St. Lucie)</w:t>
            </w:r>
          </w:p>
        </w:tc>
        <w:tc>
          <w:tcPr>
            <w:tcW w:w="126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1"/>
                <w:szCs w:val="21"/>
                <w:lang w:eastAsia="ar-sa"/>
              </w:rPr>
            </w:pPr>
            <w:r>
              <w:rPr>
                <w:rFonts w:ascii="Calibri" w:hAnsi="Calibri" w:eastAsia="Arial Unicode MS" w:cs="Calibri"/>
                <w:b/>
                <w:color w:val="00007f"/>
                <w:sz w:val="21"/>
                <w:szCs w:val="21"/>
                <w:lang w:eastAsia="ar-sa"/>
              </w:rPr>
              <w:t>10am-noon</w:t>
            </w:r>
          </w:p>
        </w:tc>
        <w:tc>
          <w:tcPr>
            <w:tcW w:w="117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ar-sa"/>
              </w:rPr>
            </w:pPr>
            <w:r>
              <w:rPr>
                <w:rFonts w:ascii="Calibri" w:hAnsi="Calibri" w:eastAsia="Arial Unicode MS" w:cs="Calibri"/>
                <w:b/>
                <w:color w:val="00007f"/>
                <w:sz w:val="24"/>
                <w:szCs w:val="24"/>
                <w:lang w:eastAsia="ar-sa"/>
              </w:rPr>
              <w:t>Advanced</w:t>
            </w:r>
          </w:p>
        </w:tc>
        <w:tc>
          <w:tcPr>
            <w:tcW w:w="5340" w:type="dxa"/>
            <w:shd w:val="none"/>
            <w:tcMar>
              <w:top w:w="0" w:type="dxa"/>
              <w:left w:w="0" w:type="dxa"/>
              <w:bottom w:w="0" w:type="dxa"/>
              <w:right w:w="0" w:type="dxa"/>
            </w:tcMar>
            <w:tcBorders>
              <w:top w:val="single" w:sz="8" w:space="0" w:color="000000" tmln="20, 20, 20, 0, 0"/>
              <w:left w:val="single" w:sz="1" w:space="0" w:color="000000" tmln="3, 20, 20, 0, 0"/>
              <w:bottom w:val="single" w:sz="8" w:space="0" w:color="000000" tmln="20, 20, 20, 0, 0"/>
              <w:right w:val="single" w:sz="8" w:space="0" w:color="000000" tmln="2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Port St. Lucie Community Center, Room A</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r>
              <w:rPr>
                <w:rFonts w:ascii="Calibri" w:hAnsi="Calibri" w:eastAsia="Arial Unicode MS" w:cs="Calibri"/>
                <w:sz w:val="24"/>
                <w:szCs w:val="24"/>
              </w:rPr>
              <w:t>2195 Southeast Airoso Boulevard, Port St. Lucie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rPr>
            </w:pPr>
            <w:hyperlink r:id="rId34" w:history="1">
              <w:r>
                <w:rPr>
                  <w:rStyle w:val="char1"/>
                  <w:rFonts w:ascii="Calibri" w:hAnsi="Calibri" w:eastAsia="Arial Unicode MS" w:cs="Calibri"/>
                  <w:sz w:val="21"/>
                  <w:szCs w:val="21"/>
                </w:rPr>
                <w:t>https://skywarn-PSL-advanced-110519.eventbrite.com</w:t>
              </w:r>
            </w:hyperlink>
          </w:p>
        </w:tc>
      </w:tr>
    </w:tbl>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t xml:space="preserve">See below for outreach events (i.e. safety expo’s, etc.). </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r>
    </w:p>
    <w:tbl>
      <w:tblPr>
        <w:name w:val="Table3"/>
        <w:tabOrder w:val="0"/>
        <w:jc w:val="center"/>
        <w:tblInd w:w="0" w:type="dxa"/>
        <w:tblW w:w="10908" w:type="dxa"/>
      </w:tblPr>
      <w:tblGrid>
        <w:gridCol w:w="1548"/>
        <w:gridCol w:w="1710"/>
        <w:gridCol w:w="1170"/>
        <w:gridCol w:w="1890"/>
        <w:gridCol w:w="4590"/>
      </w:tblGrid>
      <w:tr>
        <w:trPr>
          <w:tblHeader w:val="0"/>
          <w:cantSplit w:val="0"/>
          <w:trHeight w:val="0" w:hRule="auto"/>
        </w:trPr>
        <w:tc>
          <w:tcPr>
            <w:tcW w:w="10908" w:type="dxa"/>
            <w:gridSpan w:val="5"/>
            <w:shd w:val="none"/>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solid" w:color="83CAFF" tmshd="1677721856, 0, 16763523"/>
              <w:rPr>
                <w:rFonts w:eastAsia="Times New Roman"/>
                <w:sz w:val="24"/>
                <w:szCs w:val="24"/>
                <w:lang w:eastAsia="ar-sa"/>
              </w:rPr>
            </w:pPr>
            <w:r>
              <w:rPr>
                <w:rFonts w:eastAsia="Times New Roman"/>
                <w:sz w:val="24"/>
                <w:szCs w:val="24"/>
                <w:lang w:eastAsia="ar-sa"/>
              </w:rPr>
              <w:t xml:space="preserve">Several times each year, opportunities exist for presentations on other weather topics, including </w:t>
            </w:r>
            <w:r>
              <w:rPr>
                <w:rFonts w:eastAsia="Times New Roman"/>
                <w:b/>
                <w:bCs/>
                <w:sz w:val="24"/>
                <w:szCs w:val="24"/>
                <w:lang w:eastAsia="ar-sa"/>
              </w:rPr>
              <w:t>Florida Weather Hazards, Fire Weather, Lightning, Marine Weather, and Hurricanes.</w:t>
            </w:r>
            <w:r>
              <w:rPr>
                <w:rFonts w:eastAsia="Times New Roman"/>
                <w:sz w:val="24"/>
                <w:szCs w:val="24"/>
                <w:lang w:eastAsia="ar-sa"/>
              </w:rPr>
              <w:t xml:space="preserve"> NWS staff members also participate in many annual </w:t>
            </w:r>
            <w:r>
              <w:rPr>
                <w:rFonts w:eastAsia="Times New Roman"/>
                <w:b/>
                <w:sz w:val="24"/>
                <w:szCs w:val="24"/>
                <w:lang w:eastAsia="ar-sa"/>
              </w:rPr>
              <w:t>safety/education expos/fairs</w:t>
            </w:r>
            <w:r>
              <w:rPr>
                <w:rFonts w:eastAsia="Times New Roman"/>
                <w:sz w:val="24"/>
                <w:szCs w:val="24"/>
                <w:lang w:eastAsia="ar-sa"/>
              </w:rPr>
              <w:t xml:space="preserve">, often partnering with local government agencies. These talks and expos/fairs are open to the public. Please direct any questions concerning these events (or requests for NWS participation) to </w:t>
            </w:r>
            <w:hyperlink r:id="rId25" w:history="1">
              <w:r>
                <w:rPr>
                  <w:rStyle w:val="char1"/>
                  <w:rFonts w:eastAsia="Arial Unicode MS"/>
                  <w:sz w:val="24"/>
                  <w:szCs w:val="24"/>
                  <w:lang w:eastAsia="ar-sa"/>
                </w:rPr>
                <w:t>scott.spratt@noaa.gov</w:t>
              </w:r>
            </w:hyperlink>
            <w:r>
              <w:rPr>
                <w:rFonts w:eastAsia="Times New Roman"/>
                <w:sz w:val="24"/>
                <w:szCs w:val="24"/>
                <w:lang w:eastAsia="ar-sa"/>
              </w:rPr>
              <w:t xml:space="preserve"> </w:t>
            </w:r>
          </w:p>
        </w:tc>
      </w:tr>
      <w:tr>
        <w:trPr>
          <w:tblHeader w:val="0"/>
          <w:cantSplit w:val="0"/>
          <w:trHeight w:val="0" w:hRule="auto"/>
        </w:trPr>
        <w:tc>
          <w:tcPr>
            <w:tcW w:w="1548" w:type="dxa"/>
            <w:shd w:val="none"/>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t>Date</w:t>
            </w:r>
          </w:p>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shd w:val="clear" w:fill="ffffff"/>
                <w:lang w:eastAsia="ar-sa"/>
              </w:rPr>
              <w:t>2019</w:t>
            </w:r>
            <w:r>
              <w:rPr>
                <w:rFonts w:eastAsia="Times New Roman"/>
                <w:b/>
                <w:bCs/>
                <w:sz w:val="24"/>
                <w:szCs w:val="24"/>
                <w:lang w:eastAsia="ar-sa"/>
              </w:rPr>
            </w:r>
          </w:p>
        </w:tc>
        <w:tc>
          <w:tcPr>
            <w:tcW w:w="1710" w:type="dxa"/>
            <w:shd w:val="none"/>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t>City</w:t>
              <w:br w:type="textWrapping"/>
              <w:t>(County)</w:t>
            </w:r>
          </w:p>
        </w:tc>
        <w:tc>
          <w:tcPr>
            <w:tcW w:w="1170" w:type="dxa"/>
            <w:shd w:val="none"/>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after="240"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t>Time</w:t>
            </w:r>
          </w:p>
        </w:tc>
        <w:tc>
          <w:tcPr>
            <w:tcW w:w="1890" w:type="dxa"/>
            <w:shd w:val="none"/>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after="240"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t>Topic</w:t>
            </w:r>
          </w:p>
        </w:tc>
        <w:tc>
          <w:tcPr>
            <w:tcW w:w="4590" w:type="dxa"/>
            <w:shd w:val="none"/>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eastAsia="Times New Roman"/>
                <w:b/>
                <w:bCs/>
                <w:sz w:val="24"/>
                <w:szCs w:val="24"/>
                <w:lang w:eastAsia="ar-sa"/>
              </w:rPr>
            </w:pPr>
            <w:r>
              <w:rPr>
                <w:rFonts w:eastAsia="Times New Roman"/>
                <w:b/>
                <w:bCs/>
                <w:sz w:val="24"/>
                <w:szCs w:val="24"/>
                <w:lang w:eastAsia="ar-sa"/>
              </w:rPr>
              <w:t>Location</w:t>
              <w:br w:type="textWrapping"/>
              <w:t>Additional Details</w:t>
            </w:r>
          </w:p>
        </w:tc>
      </w:tr>
      <w:tr>
        <w:trPr>
          <w:tblHeader w:val="0"/>
          <w:cantSplit w:val="0"/>
          <w:trHeight w:val="0" w:hRule="auto"/>
        </w:trPr>
        <w:tc>
          <w:tcPr>
            <w:tcW w:w="1548" w:type="dxa"/>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en-us" w:bidi="en-us"/>
              </w:rPr>
            </w:pPr>
            <w:r>
              <w:rPr>
                <w:rFonts w:ascii="Calibri" w:hAnsi="Calibri" w:eastAsia="Arial Unicode MS" w:cs="Calibri"/>
                <w:sz w:val="24"/>
                <w:szCs w:val="24"/>
                <w:lang w:eastAsia="en-us" w:bidi="en-us"/>
              </w:rPr>
            </w:r>
          </w:p>
        </w:tc>
        <w:tc>
          <w:tcPr>
            <w:tcW w:w="1710" w:type="dxa"/>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en-us" w:bidi="en-us"/>
              </w:rPr>
            </w:pPr>
            <w:r>
              <w:rPr>
                <w:rFonts w:ascii="Calibri" w:hAnsi="Calibri" w:eastAsia="Arial Unicode MS" w:cs="Calibri"/>
                <w:sz w:val="24"/>
                <w:szCs w:val="24"/>
                <w:lang w:eastAsia="en-us" w:bidi="en-us"/>
              </w:rPr>
            </w:r>
          </w:p>
        </w:tc>
        <w:tc>
          <w:tcPr>
            <w:tcW w:w="1170" w:type="dxa"/>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7f7f7f"/>
                <w:sz w:val="22"/>
                <w:szCs w:val="22"/>
                <w:lang w:eastAsia="en-us" w:bidi="en-us"/>
              </w:rPr>
            </w:pPr>
            <w:r>
              <w:rPr>
                <w:rFonts w:ascii="Calibri" w:hAnsi="Calibri" w:eastAsia="Arial Unicode MS" w:cs="Calibri"/>
                <w:b/>
                <w:color w:val="7f7f7f"/>
                <w:sz w:val="22"/>
                <w:szCs w:val="22"/>
                <w:lang w:eastAsia="en-us" w:bidi="en-us"/>
              </w:rPr>
            </w:r>
          </w:p>
        </w:tc>
        <w:tc>
          <w:tcPr>
            <w:tcW w:w="1890" w:type="dxa"/>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b/>
                <w:color w:val="00007f"/>
                <w:sz w:val="24"/>
                <w:szCs w:val="24"/>
                <w:lang w:eastAsia="en-us" w:bidi="en-us"/>
              </w:rPr>
            </w:pPr>
            <w:r>
              <w:rPr>
                <w:rFonts w:ascii="Calibri" w:hAnsi="Calibri" w:eastAsia="Arial Unicode MS" w:cs="Calibri"/>
                <w:b/>
                <w:color w:val="00007f"/>
                <w:sz w:val="24"/>
                <w:szCs w:val="24"/>
                <w:lang w:eastAsia="en-us" w:bidi="en-us"/>
              </w:rPr>
            </w:r>
          </w:p>
        </w:tc>
        <w:tc>
          <w:tcPr>
            <w:tcW w:w="4590" w:type="dxa"/>
            <w:shd w:val="solid" w:color="FFFFFF" tmshd="1677721856, 0, 16777215"/>
            <w:tcMar>
              <w:top w:w="0" w:type="dxa"/>
              <w:left w:w="108" w:type="dxa"/>
              <w:bottom w:w="0" w:type="dxa"/>
              <w:right w:w="108" w:type="dxa"/>
            </w:tcMar>
            <w:tcBorders>
              <w:top w:val="single" w:sz="4" w:space="0" w:color="000000" tmln="10, 20, 20, 0, 0"/>
              <w:left w:val="single" w:sz="4" w:space="0" w:color="000000" tmln="10, 20, 20, 0, 0"/>
              <w:bottom w:val="single" w:sz="4" w:space="0" w:color="000000" tmln="10, 20, 20, 0, 0"/>
              <w:right w:val="single" w:sz="4" w:space="0" w:color="000000" tmln="10, 20, 20, 0, 0"/>
              <w:tl2br w:val="nil" w:sz="0" w:space="0" w:color="000000" tmln="20, 20, 20, 0, 0"/>
              <w:tr2bl w:val="nil" w:sz="0" w:space="0" w:color="000000" tmln="20, 20, 20, 0, 0"/>
            </w:tcBorders>
            <w:tmTcPr id="1560266234" protected="1"/>
          </w:tcPr>
          <w:p>
            <w:pPr>
              <w:spacing w:line="100" w:lineRule="atLeast"/>
              <w:jc w:val="center"/>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2"/>
                <w:szCs w:val="22"/>
                <w:lang w:eastAsia="en-us" w:bidi="en-us"/>
              </w:rPr>
            </w:pPr>
            <w:r>
              <w:rPr>
                <w:rFonts w:ascii="Calibri" w:hAnsi="Calibri" w:eastAsia="Arial Unicode MS" w:cs="Calibri"/>
                <w:sz w:val="22"/>
                <w:szCs w:val="22"/>
                <w:lang w:eastAsia="en-us" w:bidi="en-us"/>
              </w:rPr>
            </w:r>
          </w:p>
        </w:tc>
      </w:tr>
    </w:tbl>
    <w:p>
      <w:pPr>
        <w:spacing w:line="100" w:lineRule="atLeast"/>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en-us" w:bidi="en-us"/>
        </w:rPr>
      </w:pPr>
      <w:r>
        <w:rPr>
          <w:rFonts w:ascii="Calibri" w:hAnsi="Calibri" w:eastAsia="Arial Unicode MS" w:cs="Calibri"/>
          <w:sz w:val="24"/>
          <w:szCs w:val="24"/>
          <w:lang w:eastAsia="en-us" w:bidi="en-us"/>
        </w:rPr>
      </w:r>
    </w:p>
    <w:p>
      <w:pPr>
        <w:ind w:left="709"/>
        <w:spacing w:line="100" w:lineRule="atLeast"/>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rFonts w:ascii="Calibri" w:hAnsi="Calibri" w:eastAsia="Arial Unicode MS" w:cs="Calibri"/>
          <w:sz w:val="24"/>
          <w:szCs w:val="24"/>
          <w:lang w:eastAsia="en-us" w:bidi="en-us"/>
        </w:rPr>
      </w:pPr>
      <w:hyperlink r:id="rId35" w:history="1">
        <w:r>
          <w:rPr>
            <w:rStyle w:val="char1"/>
            <w:rFonts w:ascii="Calibri" w:hAnsi="Calibri" w:eastAsia="Arial Unicode MS" w:cs="Calibri"/>
            <w:sz w:val="24"/>
            <w:szCs w:val="24"/>
            <w:lang w:eastAsia="en-us" w:bidi="en-us"/>
          </w:rPr>
          <w:t>http://www.weather.gov/mlb</w:t>
        </w:r>
      </w:hyperlink>
    </w:p>
    <w:p>
      <w:pPr>
        <w:ind w:left="709"/>
        <w:spacing w:line="100" w:lineRule="atLeast"/>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rFonts w:ascii="Calibri" w:hAnsi="Calibri" w:eastAsia="Arial Unicode MS" w:cs="Calibri"/>
          <w:sz w:val="24"/>
          <w:szCs w:val="24"/>
          <w:lang w:eastAsia="en-us" w:bidi="en-us"/>
        </w:rPr>
      </w:pPr>
      <w:hyperlink r:id="rId35" w:history="1">
        <w:r>
          <w:rPr>
            <w:rStyle w:val="char1"/>
            <w:rFonts w:ascii="Calibri" w:hAnsi="Calibri" w:eastAsia="Arial Unicode MS" w:cs="Calibri"/>
            <w:sz w:val="24"/>
            <w:szCs w:val="24"/>
            <w:lang w:eastAsia="en-us" w:bidi="en-us"/>
          </w:rPr>
        </w:r>
      </w:hyperlink>
    </w:p>
    <w:p>
      <w:pPr>
        <w:ind w:left="709"/>
        <w:spacing w:line="100" w:lineRule="atLeast"/>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rFonts w:ascii="Calibri" w:hAnsi="Calibri" w:eastAsia="Arial Unicode MS" w:cs="Calibri"/>
          <w:sz w:val="24"/>
          <w:szCs w:val="24"/>
          <w:lang w:eastAsia="en-us" w:bidi="en-us"/>
        </w:rPr>
      </w:pPr>
      <w:hyperlink r:id="rId35" w:history="1">
        <w:r>
          <w:rPr>
            <w:rStyle w:val="char1"/>
            <w:rFonts w:ascii="Calibri" w:hAnsi="Calibri" w:eastAsia="Arial Unicode MS" w:cs="Calibri"/>
            <w:sz w:val="24"/>
            <w:szCs w:val="24"/>
            <w:lang w:eastAsia="en-us" w:bidi="en-us"/>
          </w:rPr>
        </w:r>
      </w:hyperlink>
      <w:r>
        <w:br w:type="page"/>
      </w:r>
    </w:p>
    <w:p>
      <w:pPr>
        <w:ind w:left="709"/>
        <w:spacing w:line="100" w:lineRule="atLeast"/>
        <w:suppressAutoHyphens/>
        <w:hyphenationLines w:val="0"/>
        <w:widowControl/>
        <w:tabs defTabSz="709"/>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Fonts w:ascii="Calibri" w:hAnsi="Calibri" w:eastAsia="Arial Unicode MS" w:cs="Calibri"/>
          <w:sz w:val="24"/>
          <w:szCs w:val="24"/>
          <w:lang w:eastAsia="en-us" w:bidi="en-us"/>
        </w:rPr>
      </w:pPr>
      <w:r>
        <w:rPr>
          <w:rFonts w:ascii="Calibri" w:hAnsi="Calibri" w:eastAsia="Arial Unicode MS" w:cs="Calibri"/>
          <w:sz w:val="24"/>
          <w:szCs w:val="24"/>
          <w:lang w:eastAsia="en-us" w:bidi="en-us"/>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u w:color="auto" w:val="none"/>
        </w:rPr>
      </w:pPr>
      <w:r>
        <w:rPr>
          <w:rStyle w:val="char1"/>
          <w:color w:val="auto"/>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rStyle w:val="char1"/>
          <w:color w:val="auto"/>
          <w:sz w:val="24"/>
          <w:u w:color="auto" w:val="none"/>
        </w:rPr>
      </w:pPr>
      <w:r>
        <w:rPr>
          <w:rStyle w:val="char1"/>
          <w:color w:val="auto"/>
          <w:sz w:val="24"/>
          <w:u w:color="auto" w:val="none"/>
        </w:r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rPr>
          <w:b/>
          <w:bCs/>
          <w:sz w:val="56"/>
          <w:szCs w:val="56"/>
        </w:rPr>
      </w:pPr>
      <w:r>
        <w:fldChar w:fldCharType="begin">
          <w:ffData>
            <w:name w:val="Rectangle1"/>
            <w:enabled/>
            <w:calcOnExit w:val="0"/>
            <w:textInput/>
            <w:vAlign w:val="top"/>
            <w:dim w:top="72" w:bottom="72" w:left="144" w:right="144">
              <w:width w:w="9333"/>
              <w:height w:h="4468"/>
            </w:dim>
          </w:ffData>
        </w:fldChar>
      </w:r>
      <w:bookmarkStart w:id="0" w:name="Rectangle1"/>
      <w:r>
        <w:instrText xml:space="preserve"> FORMTEXT </w:instrText>
      </w:r>
      <w:r>
        <w:fldChar w:fldCharType="separate"/>
      </w:r>
      <w:r>
        <w:rPr>
          <w:b/>
          <w:bCs/>
          <w:sz w:val="56"/>
          <w:szCs w:val="56"/>
        </w:rPr>
        <w:t>The 2019 HIARC Field Day Co-site Interference Filters</w:t>
      </w:r>
    </w:p>
    <w:p>
      <w:pPr>
        <w:spacing/>
        <w:jc w:val="center"/>
      </w:pPr>
      <w:r>
        <w:t> </w:t>
      </w:r>
    </w:p>
    <w:p>
      <w:pPr>
        <w:spacing/>
        <w:jc w:val="center"/>
        <w:rPr>
          <w:b/>
          <w:bCs/>
          <w:sz w:val="56"/>
          <w:szCs w:val="56"/>
        </w:rPr>
      </w:pPr>
      <w:r>
        <w:rPr>
          <w:b/>
          <w:bCs/>
          <w:sz w:val="56"/>
          <w:szCs w:val="56"/>
        </w:rPr>
        <w:t>By</w:t>
      </w:r>
    </w:p>
    <w:p>
      <w:pPr>
        <w:spacing/>
        <w:jc w:val="center"/>
      </w:pPr>
      <w:r>
        <w:t> </w:t>
      </w:r>
    </w:p>
    <w:p>
      <w:pPr>
        <w:spacing/>
        <w:jc w:val="center"/>
        <w:rPr>
          <w:b/>
          <w:bCs/>
          <w:sz w:val="56"/>
          <w:szCs w:val="56"/>
        </w:rPr>
      </w:pPr>
      <w:r>
        <w:rPr>
          <w:b/>
          <w:bCs/>
          <w:sz w:val="56"/>
          <w:szCs w:val="56"/>
        </w:rPr>
        <w:t>Ken N8KH</w:t>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p>
    <w:p>
      <w:pPr>
        <w:spacing/>
        <w:jc w:val="center"/>
        <w:rPr>
          <w:b/>
          <w:bCs/>
          <w:sz w:val="56"/>
          <w:szCs w:val="56"/>
        </w:rPr>
      </w:pPr>
      <w:r>
        <w:rPr>
          <w:b/>
          <w:bCs/>
          <w:sz w:val="56"/>
          <w:szCs w:val="56"/>
        </w:rPr>
      </w:r>
      <w:r>
        <w:fldChar w:fldCharType="end"/>
      </w:r>
      <w:bookmarkEnd w:id="0"/>
      <w:r/>
    </w:p>
    <w:p>
      <w:r>
        <w:rPr>
          <w:noProof/>
        </w:rPr>
        <w:drawing>
          <wp:anchor distT="0" distB="0" distL="114300" distR="114300" simplePos="0" relativeHeight="251658258" behindDoc="0" locked="0" layoutInCell="0" hidden="0" allowOverlap="1">
            <wp:simplePos x="0" y="0"/>
            <wp:positionH relativeFrom="page">
              <wp:posOffset>1015365</wp:posOffset>
            </wp:positionH>
            <wp:positionV relativeFrom="page">
              <wp:posOffset>4550410</wp:posOffset>
            </wp:positionV>
            <wp:extent cx="5709920" cy="4561840"/>
            <wp:effectExtent l="0" t="0" r="0" b="0"/>
            <wp:wrapNone/>
            <wp:docPr id="18" name="Pictur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7"/>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NAAAAAIAAAAAAAAAAAAAAAAAAAAAAAAA/BgAAAAAAAAAAAAD+GwAAICMAABAcAAAKAAAAPwYAAP4bAAAoAAAACAAAAAEAAAABAAAA"/>
                        </a:ext>
                      </a:extLst>
                    </pic:cNvPicPr>
                  </pic:nvPicPr>
                  <pic:blipFill>
                    <a:blip r:embed="rId36"/>
                    <a:stretch>
                      <a:fillRect/>
                    </a:stretch>
                  </pic:blipFill>
                  <pic:spPr>
                    <a:xfrm>
                      <a:off x="0" y="0"/>
                      <a:ext cx="5709920" cy="4561840"/>
                    </a:xfrm>
                    <a:prstGeom prst="rect">
                      <a:avLst/>
                    </a:prstGeom>
                    <a:noFill/>
                    <a:ln w="12700">
                      <a:noFill/>
                    </a:ln>
                  </pic:spPr>
                </pic:pic>
              </a:graphicData>
            </a:graphic>
          </wp:anchor>
        </w:drawing>
      </w:r>
      <w:r/>
      <w:r>
        <w:br w:type="page"/>
      </w:r>
    </w:p>
    <w:p>
      <w:r>
        <w:rPr>
          <w:noProof/>
        </w:rPr>
        <w:drawing>
          <wp:inline distT="0" distB="0" distL="0" distR="0">
            <wp:extent cx="5867400" cy="7343775"/>
            <wp:effectExtent l="0" t="0" r="0" b="0"/>
            <wp:docPr id="1" name="Pictur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18"/>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BgkAAAtLQAAGCQAAC0t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GCQAAC0tAAAAAAAAAAAAAAAAAAAoAAAACAAAAAEAAAABAAAA"/>
                        </a:ext>
                      </a:extLst>
                    </pic:cNvPicPr>
                  </pic:nvPicPr>
                  <pic:blipFill>
                    <a:blip r:embed="rId37"/>
                    <a:stretch>
                      <a:fillRect/>
                    </a:stretch>
                  </pic:blipFill>
                  <pic:spPr>
                    <a:xfrm>
                      <a:off x="0" y="0"/>
                      <a:ext cx="5867400" cy="7343775"/>
                    </a:xfrm>
                    <a:prstGeom prst="rect">
                      <a:avLst/>
                    </a:prstGeom>
                    <a:noFill/>
                    <a:ln w="12700">
                      <a:noFill/>
                    </a:ln>
                  </pic:spPr>
                </pic:pic>
              </a:graphicData>
            </a:graphic>
          </wp:inline>
        </w:drawing>
      </w:r>
      <w:r/>
      <w:r>
        <w:br w:type="page"/>
      </w:r>
    </w:p>
    <w:p>
      <w:r>
        <w:rPr>
          <w:noProof/>
        </w:rPr>
        <w:drawing>
          <wp:inline distT="0" distB="0" distL="0" distR="0">
            <wp:extent cx="5963285" cy="4437380"/>
            <wp:effectExtent l="0" t="0" r="0" b="0"/>
            <wp:docPr id="2" name="Pictur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9"/>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GYkAAC0JwAAZiQAALQnAAAAAAAACQAAAAQAAACQH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QAAAAAAAAAAAAAAAQAAAAAAAAAAAAAAryQAAEwbAAAAAAAAAAAAAAAAAAAoAAAACAAAAAEAAAABAAAA"/>
                        </a:ext>
                      </a:extLst>
                    </pic:cNvPicPr>
                  </pic:nvPicPr>
                  <pic:blipFill>
                    <a:blip r:embed="rId38"/>
                    <a:stretch>
                      <a:fillRect/>
                    </a:stretch>
                  </pic:blipFill>
                  <pic:spPr>
                    <a:xfrm>
                      <a:off x="0" y="0"/>
                      <a:ext cx="5963285" cy="4437380"/>
                    </a:xfrm>
                    <a:prstGeom prst="rect">
                      <a:avLst/>
                    </a:prstGeom>
                    <a:noFill/>
                    <a:ln w="12700">
                      <a:noFill/>
                    </a:ln>
                  </pic:spPr>
                </pic:pic>
              </a:graphicData>
            </a:graphic>
          </wp:inline>
        </w:drawing>
      </w:r>
      <w:r/>
    </w:p>
    <w:p>
      <w:r/>
    </w:p>
    <w:p>
      <w:r>
        <w:rPr>
          <w:noProof/>
        </w:rPr>
        <w:drawing>
          <wp:inline distT="0" distB="0" distL="0" distR="0">
            <wp:extent cx="5963285" cy="3140710"/>
            <wp:effectExtent l="0" t="0" r="0" b="0"/>
            <wp:docPr id="3" name="Pictur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19"/>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K8kAABSEwAAryQAAFIT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QAAAAAAAAAAAAAAAQAAAAAAAAAAAAAAryQAAFITAAAAAAAAAAAAAAAAAAAoAAAACAAAAAEAAAABAAAA"/>
                        </a:ext>
                      </a:extLst>
                    </pic:cNvPicPr>
                  </pic:nvPicPr>
                  <pic:blipFill>
                    <a:blip r:embed="rId39"/>
                    <a:stretch>
                      <a:fillRect/>
                    </a:stretch>
                  </pic:blipFill>
                  <pic:spPr>
                    <a:xfrm>
                      <a:off x="0" y="0"/>
                      <a:ext cx="5963285" cy="3140710"/>
                    </a:xfrm>
                    <a:prstGeom prst="rect">
                      <a:avLst/>
                    </a:prstGeom>
                    <a:noFill/>
                    <a:ln w="12700">
                      <a:noFill/>
                    </a:ln>
                  </pic:spPr>
                </pic:pic>
              </a:graphicData>
            </a:graphic>
          </wp:inline>
        </w:drawing>
      </w:r>
      <w:r/>
      <w:r>
        <w:br w:type="page"/>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rPr>
          <w:noProof/>
        </w:rPr>
        <w:drawing>
          <wp:inline distT="0" distB="0" distL="0" distR="0">
            <wp:extent cx="5807710" cy="1816100"/>
            <wp:effectExtent l="0" t="0" r="0" b="0"/>
            <wp:docPr id="4" name="Pictur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19"/>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LojAAAsCwAAuiMAACwLAAAAAAAACQAAAAQAAACQH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uiMAACwLAAAAAAAAAAAAAAAAAAAoAAAACAAAAAEAAAABAAAA"/>
                        </a:ext>
                      </a:extLst>
                    </pic:cNvPicPr>
                  </pic:nvPicPr>
                  <pic:blipFill>
                    <a:blip r:embed="rId40"/>
                    <a:stretch>
                      <a:fillRect/>
                    </a:stretch>
                  </pic:blipFill>
                  <pic:spPr>
                    <a:xfrm>
                      <a:off x="0" y="0"/>
                      <a:ext cx="5807710" cy="1816100"/>
                    </a:xfrm>
                    <a:prstGeom prst="rect">
                      <a:avLst/>
                    </a:prstGeom>
                    <a:noFill/>
                    <a:ln w="12700">
                      <a:noFill/>
                    </a:ln>
                  </pic:spPr>
                </pic:pic>
              </a:graphicData>
            </a:graphic>
          </wp:inline>
        </w:drawing>
      </w: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rPr>
          <w:noProof/>
        </w:rPr>
        <w:drawing>
          <wp:inline distT="0" distB="0" distL="0" distR="0">
            <wp:extent cx="5486400" cy="4004945"/>
            <wp:effectExtent l="0" t="0" r="0" b="0"/>
            <wp:docPr id="5" name="Pictur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18"/>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MAhAACjGAAAwCEAAKMY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wCEAAKMYAAAAAAAAAAAAAAAAAAAoAAAACAAAAAEAAAABAAAA"/>
                        </a:ext>
                      </a:extLst>
                    </pic:cNvPicPr>
                  </pic:nvPicPr>
                  <pic:blipFill>
                    <a:blip r:embed="rId41"/>
                    <a:stretch>
                      <a:fillRect/>
                    </a:stretch>
                  </pic:blipFill>
                  <pic:spPr>
                    <a:xfrm>
                      <a:off x="0" y="0"/>
                      <a:ext cx="5486400" cy="4004945"/>
                    </a:xfrm>
                    <a:prstGeom prst="rect">
                      <a:avLst/>
                    </a:prstGeom>
                    <a:noFill/>
                    <a:ln w="12700">
                      <a:noFill/>
                    </a:ln>
                  </pic:spPr>
                </pic:pic>
              </a:graphicData>
            </a:graphic>
          </wp:inline>
        </w:drawing>
      </w:r>
      <w:r/>
      <w:r>
        <w:br w:type="page"/>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rPr>
          <w:noProof/>
        </w:rPr>
        <w:drawing>
          <wp:inline distT="0" distB="0" distL="0" distR="0">
            <wp:extent cx="5848350" cy="4249420"/>
            <wp:effectExtent l="0" t="0" r="0" b="0"/>
            <wp:docPr id="6" name="Pictur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19"/>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PojAAAkGgAA+iMAACQa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iMAACQaAAAAAAAAAAAAAAAAAAAoAAAACAAAAAEAAAABAAAA"/>
                        </a:ext>
                      </a:extLst>
                    </pic:cNvPicPr>
                  </pic:nvPicPr>
                  <pic:blipFill>
                    <a:blip r:embed="rId42"/>
                    <a:stretch>
                      <a:fillRect/>
                    </a:stretch>
                  </pic:blipFill>
                  <pic:spPr>
                    <a:xfrm>
                      <a:off x="0" y="0"/>
                      <a:ext cx="5848350" cy="4249420"/>
                    </a:xfrm>
                    <a:prstGeom prst="rect">
                      <a:avLst/>
                    </a:prstGeom>
                    <a:noFill/>
                    <a:ln w="12700">
                      <a:noFill/>
                    </a:ln>
                  </pic:spPr>
                </pic:pic>
              </a:graphicData>
            </a:graphic>
          </wp:inline>
        </w:drawing>
      </w:r>
      <w:r/>
      <w:r>
        <w:br w:type="page"/>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rPr>
          <w:noProof/>
        </w:rPr>
        <w:drawing>
          <wp:inline distT="0" distB="0" distL="0" distR="0">
            <wp:extent cx="5895975" cy="4491355"/>
            <wp:effectExtent l="0" t="0" r="0" b="0"/>
            <wp:docPr id="7" name="Pictur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8"/>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EUkAAChGwAARSQAAKEb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RSQAAKEbAAAAAAAAAAAAAAAAAAAoAAAACAAAAAEAAAABAAAA"/>
                        </a:ext>
                      </a:extLst>
                    </pic:cNvPicPr>
                  </pic:nvPicPr>
                  <pic:blipFill>
                    <a:blip r:embed="rId43"/>
                    <a:stretch>
                      <a:fillRect/>
                    </a:stretch>
                  </pic:blipFill>
                  <pic:spPr>
                    <a:xfrm>
                      <a:off x="0" y="0"/>
                      <a:ext cx="5895975" cy="4491355"/>
                    </a:xfrm>
                    <a:prstGeom prst="rect">
                      <a:avLst/>
                    </a:prstGeom>
                    <a:noFill/>
                    <a:ln w="12700">
                      <a:noFill/>
                    </a:ln>
                  </pic:spPr>
                </pic:pic>
              </a:graphicData>
            </a:graphic>
          </wp:inline>
        </w:drawing>
      </w:r>
      <w:r/>
    </w:p>
    <w:p>
      <w:r/>
      <w:r>
        <w:br w:type="page"/>
      </w:r>
    </w:p>
    <w:p>
      <w:r>
        <w:rPr>
          <w:noProof/>
        </w:rPr>
        <w:drawing>
          <wp:inline distT="0" distB="0" distL="0" distR="0">
            <wp:extent cx="5753100" cy="4170680"/>
            <wp:effectExtent l="0" t="0" r="0" b="0"/>
            <wp:docPr id="8" name="Pictur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18"/>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GQjAACoGQAAZCMAAKgZAAAAAAAACQAAAAQAAADoF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ZCMAAKgZAAAAAAAAAAAAAAAAAAAoAAAACAAAAAEAAAABAAAA"/>
                        </a:ext>
                      </a:extLst>
                    </pic:cNvPicPr>
                  </pic:nvPicPr>
                  <pic:blipFill>
                    <a:blip r:embed="rId44"/>
                    <a:stretch>
                      <a:fillRect/>
                    </a:stretch>
                  </pic:blipFill>
                  <pic:spPr>
                    <a:xfrm>
                      <a:off x="0" y="0"/>
                      <a:ext cx="5753100" cy="4170680"/>
                    </a:xfrm>
                    <a:prstGeom prst="rect">
                      <a:avLst/>
                    </a:prstGeom>
                    <a:noFill/>
                    <a:ln w="12700">
                      <a:noFill/>
                    </a:ln>
                  </pic:spPr>
                </pic:pic>
              </a:graphicData>
            </a:graphic>
          </wp:inline>
        </w:drawing>
      </w:r>
      <w:r/>
      <w:r>
        <w:br w:type="page"/>
      </w:r>
    </w:p>
    <w:p>
      <w:r>
        <w:rPr>
          <w:noProof/>
        </w:rPr>
        <w:drawing>
          <wp:inline distT="0" distB="0" distL="0" distR="0">
            <wp:extent cx="5928360" cy="4403090"/>
            <wp:effectExtent l="0" t="0" r="0" b="0"/>
            <wp:docPr id="9" name="Pictur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8"/>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HgkAAAWGwAAeCQAABYb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eCQAABYbAAAAAAAAAAAAAAAAAAAoAAAACAAAAAEAAAABAAAA"/>
                        </a:ext>
                      </a:extLst>
                    </pic:cNvPicPr>
                  </pic:nvPicPr>
                  <pic:blipFill>
                    <a:blip r:embed="rId45"/>
                    <a:stretch>
                      <a:fillRect/>
                    </a:stretch>
                  </pic:blipFill>
                  <pic:spPr>
                    <a:xfrm>
                      <a:off x="0" y="0"/>
                      <a:ext cx="5928360" cy="4403090"/>
                    </a:xfrm>
                    <a:prstGeom prst="rect">
                      <a:avLst/>
                    </a:prstGeom>
                    <a:noFill/>
                    <a:ln w="12700">
                      <a:noFill/>
                    </a:ln>
                  </pic:spPr>
                </pic:pic>
              </a:graphicData>
            </a:graphic>
          </wp:inline>
        </w:drawing>
      </w:r>
      <w:r/>
      <w:r>
        <w:br w:type="page"/>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rPr>
          <w:noProof/>
        </w:rPr>
        <w:drawing>
          <wp:inline distT="0" distB="0" distL="0" distR="0">
            <wp:extent cx="5715000" cy="4227830"/>
            <wp:effectExtent l="0" t="0" r="0" b="0"/>
            <wp:docPr id="10" name="Picture18"/>
            <wp:cNvGraphicFramePr/>
            <a:graphic xmlns:a="http://schemas.openxmlformats.org/drawingml/2006/main">
              <a:graphicData uri="http://schemas.openxmlformats.org/drawingml/2006/picture">
                <pic:pic xmlns:pic="http://schemas.openxmlformats.org/drawingml/2006/picture">
                  <pic:nvPicPr>
                    <pic:cNvPr id="10" name="Picture18"/>
                    <pic:cNvPicPr>
                      <a:extLst>
                        <a:ext uri="smNativeData">
                          <sm:smNativeData xmlns:sm="smNativeData" val="SMDATA_17_+sX/XBMAAAAlAAAAEQAAAA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CgjAAACGgAAKCMAAAIa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KCMAAAIaAAAAAAAAAAAAAAAAAAAoAAAACAAAAAEAAAABAAAA"/>
                        </a:ext>
                      </a:extLst>
                    </pic:cNvPicPr>
                  </pic:nvPicPr>
                  <pic:blipFill>
                    <a:blip r:embed="rId46"/>
                    <a:stretch>
                      <a:fillRect/>
                    </a:stretch>
                  </pic:blipFill>
                  <pic:spPr>
                    <a:xfrm>
                      <a:off x="0" y="0"/>
                      <a:ext cx="5715000" cy="4227830"/>
                    </a:xfrm>
                    <a:prstGeom prst="rect">
                      <a:avLst/>
                    </a:prstGeom>
                    <a:noFill/>
                    <a:ln w="12700">
                      <a:noFill/>
                    </a:ln>
                  </pic:spPr>
                </pic:pic>
              </a:graphicData>
            </a:graphic>
          </wp:inline>
        </w:drawing>
      </w: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p>
    <w:p>
      <w:pPr>
        <w:pBdr>
          <w:top w:val="nil" w:sz="0" w:space="0" w:color="000000" tmln="20, 20, 20, 0, 0"/>
          <w:left w:val="nil" w:sz="0" w:space="0" w:color="000000" tmln="20, 20, 20, 0, 0"/>
          <w:bottom w:val="nil" w:sz="0" w:space="0" w:color="000000" tmln="20, 20, 20, 0, 0"/>
          <w:right w:val="nil" w:sz="0" w:space="0" w:color="000000" tmln="20, 20, 20, 0, 0"/>
          <w:between w:val="nil" w:sz="0" w:space="0" w:color="000000" tmln="20, 20, 20, 0, 0"/>
        </w:pBdr>
        <w:shd w:val="none"/>
      </w:pPr>
      <w:r>
        <w:rPr>
          <w:noProof/>
        </w:rPr>
        <w:drawing>
          <wp:inline distT="0" distB="0" distL="0" distR="0">
            <wp:extent cx="5921375" cy="560070"/>
            <wp:effectExtent l="0" t="0" r="0" b="0"/>
            <wp:docPr id="11" name="Pictur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19"/>
                    <pic:cNvPicPr>
                      <a:picLocks noChangeAspect="1"/>
                      <a:extLst>
                        <a:ext uri="smNativeData">
                          <sm:smNativeData xmlns:sm="smNativeData" val="SMDATA_17_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AAAAAAAAAAAAAAAAAAAAAAAAAAAAAAAAAAAAAAAAAAAAAAAAbSQAAHIDAAAAAAAAAAAAAAAAAAAoAAAACAAAAAEAAAABAAAA"/>
                        </a:ext>
                      </a:extLst>
                    </pic:cNvPicPr>
                  </pic:nvPicPr>
                  <pic:blipFill>
                    <a:blip r:embed="rId47"/>
                    <a:stretch>
                      <a:fillRect/>
                    </a:stretch>
                  </pic:blipFill>
                  <pic:spPr>
                    <a:xfrm>
                      <a:off x="0" y="0"/>
                      <a:ext cx="5921375" cy="560070"/>
                    </a:xfrm>
                    <a:prstGeom prst="rect">
                      <a:avLst/>
                    </a:prstGeom>
                    <a:noFill/>
                    <a:ln w="12700">
                      <a:noFill/>
                    </a:ln>
                  </pic:spPr>
                </pic:pic>
              </a:graphicData>
            </a:graphic>
          </wp:inline>
        </w:drawing>
      </w:r>
      <w:r/>
    </w:p>
    <w:sectPr>
      <w:footnotePr>
        <w:pos w:val="pageBottom"/>
        <w:numFmt w:val="decimal"/>
        <w:numStart w:val="1"/>
        <w:numRestart w:val="continuous"/>
      </w:footnotePr>
      <w:endnotePr>
        <w:pos w:val="docEnd"/>
        <w:numFmt w:val="decimal"/>
        <w:numStart w:val="1"/>
        <w:numRestart w:val="continuous"/>
      </w:endnotePr>
      <w:type w:val="continuous"/>
      <w:pgSz w:h="15840" w:w="12240"/>
      <w:pgMar w:left="1440" w:top="1440" w:right="1440" w:bottom="1440"/>
      <w:paperSrc w:first="0" w:other="0" a="0" b="0"/>
      <w:pgNumType w:fmt="decimal"/>
      <w:tmGutter w:val="1"/>
      <w:mirrorMargins w:val="0"/>
      <w:tmSection w:h="-1"/>
      <w:guidesAndGridMasterPages Id="0" numberOfVerticalGuides="0" numberOfHorizontalGuides="0"/>
      <w:guidesAndGridMasterPages Id="1" numberOfVerticalGuides="0" numberOfHorizontalGuides="0"/>
      <w:guidesAndGridMasterPages Id="2" numberOfVerticalGuides="0" numberOfHorizontalGuides="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Wingdings">
    <w:panose1 w:val="05000000000000000000"/>
    <w:charset w:val="02"/>
    <w:family w:val="auto"/>
    <w:pitch w:val="default"/>
  </w:font>
  <w:font w:name="Calibri">
    <w:panose1 w:val="020F0502020204030204"/>
    <w:charset w:val="00"/>
    <w:family w:val="swiss"/>
    <w:pitch w:val="default"/>
  </w:font>
  <w:font w:name="Arial Unicode MS">
    <w:panose1 w:val="020B0604020202020204"/>
    <w:charset w:val="00"/>
    <w:family w:val="swiss"/>
    <w:pitch w:val="default"/>
  </w:font>
  <w:font w:name="Tahoma">
    <w:panose1 w:val="020B0604030504040204"/>
    <w:charset w:val="00"/>
    <w:family w:val="swiss"/>
    <w:pitch w:val="default"/>
  </w:font>
  <w:font w:name="Segoe UI">
    <w:panose1 w:val="020B0502040204020203"/>
    <w:charset w:val="00"/>
    <w:family w:val="swiss"/>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singleLevel"/>
    <w:name w:val="Bullet 1"/>
    <w:lvl w:ilvl="0">
      <w:numFmt w:val="bullet"/>
      <w:suff w:val="tab"/>
      <w:lvlText w:val=""/>
      <w:lvlJc w:val="left"/>
      <w:pPr>
        <w:ind w:left="0" w:hanging="0"/>
      </w:pPr>
      <w:rPr>
        <w:rFonts w:ascii="Wingdings" w:hAnsi="Wingdings" w:eastAsia="Wingdings" w:cs="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view w:val="print"/>
  <w:defaultTabStop w:val="720"/>
  <w:autoHyphenation w:val="1"/>
  <w:doNotShadeFormData w:val="1"/>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decimal"/>
    <w:numStart w:val="1"/>
    <w:numRestart w:val="continuous"/>
  </w:endnotePr>
  <w:compat>
    <w:doNotUseHTMLParagraphAutoSpacing w:val="1"/>
  </w:compat>
  <w:compatSetting w:name="compatibilityMode" w:uri="http://schemas.microsoft.com/office/word" w:val="15"/>
  <w:shapeDefaults>
    <o:shapedefaults v:ext="edit" spidmax="1026"/>
    <o:shapelayout v:ext="edit">
      <o:rules v:ext="edit"/>
    </o:shapelayout>
  </w:shapeDefaults>
  <w:tmPrefOne w:val="16"/>
  <w:tmPrefTwo w:val="1"/>
  <w:tmFmtPref w:val="54538251"/>
  <w:tmCommentsPr>
    <w:tmCommentsPlace w:val="0"/>
    <w:tmCommentsWidth w:val="3240"/>
    <w:tmCommentsColor w:val="-1"/>
  </w:tmCommentsPr>
  <w:tmReviewPr>
    <w:tmReviewEnabled w:val="0"/>
    <w:tmReviewShow w:val="1"/>
    <w:tmReviewPrint w:val="0"/>
    <w:tmRevisionNum w:val="3"/>
    <w:tmReviewMarkIns w:val="4"/>
    <w:tmReviewColorIns w:val="-1"/>
    <w:tmReviewMarkDel w:val="6"/>
    <w:tmReviewColorDel w:val="-1"/>
    <w:tmReviewMarkFmt w:val="1"/>
    <w:tmReviewColorFmt w:val="-1"/>
    <w:tmReviewMarkLn w:val="1"/>
    <w:tmReviewColorLn w:val="0"/>
    <w:tmReviewToolTip w:val="0"/>
  </w:tmReviewPr>
  <w:tmLastPos>
    <w:tmLastPosPage w:val="17"/>
    <w:tmLastPosSelect w:val="0"/>
    <w:tmLastPosFrameIdx w:val="0"/>
    <w:tmLastPosCaret>
      <w:tmLastPosPgfIdx w:val="155"/>
      <w:tmLastPosIdx w:val="0"/>
    </w:tmLastPosCaret>
    <w:tmLastPosAnchor>
      <w:tmLastPosPgfIdx w:val="0"/>
      <w:tmLastPosIdx w:val="0"/>
    </w:tmLastPosAnchor>
    <w:tmLastPosTblRect w:left="0" w:top="0" w:right="0" w:bottom="0"/>
  </w:tmLastPos>
  <w:tmAppRevision w:date="1560266234" w:val="962"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hAnsi="Times New Roman" w:eastAsia="SimSun" w:cs="Times New Roman"/>
        <w:kern w:val="1"/>
        <w:sz w:val="20"/>
        <w:szCs w:val="20"/>
        <w:lang w:val="en-us" w:eastAsia="zh-cn" w:bidi="ar-sa"/>
      </w:rPr>
    </w:rPrDefault>
    <w:pPrDefault>
      <w:pPr>
        <w:widowControl w:val="0"/>
      </w:pPr>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key w:val="1072"/>
  </w:style>
  <w:style w:type="paragraph" w:styleId="para1">
    <w:name w:val="heading 1"/>
    <w:qFormat/>
    <w:basedOn w:val="para0"/>
    <w:next w:val="para0"/>
    <w:pPr>
      <w:spacing w:before="240" w:after="60"/>
      <w:keepNext/>
      <w:outlineLvl w:val="0"/>
      <w:keepLines/>
    </w:pPr>
    <w:rPr>
      <w:rFonts w:ascii="Arial" w:hAnsi="Arial" w:cs="Arial"/>
      <w:b/>
      <w:bCs/>
      <w:sz w:val="36"/>
      <w:szCs w:val="36"/>
    </w:rPr>
    <w:key w:val="1073"/>
  </w:style>
  <w:style w:type="paragraph" w:styleId="para2">
    <w:name w:val="heading 2"/>
    <w:qFormat/>
    <w:basedOn w:val="para1"/>
    <w:next w:val="para0"/>
    <w:pPr>
      <w:outlineLvl w:val="1"/>
    </w:pPr>
    <w:rPr>
      <w:sz w:val="32"/>
      <w:szCs w:val="32"/>
    </w:rPr>
    <w:key w:val="1074"/>
  </w:style>
  <w:style w:type="paragraph" w:styleId="para3">
    <w:name w:val="heading 3"/>
    <w:qFormat/>
    <w:basedOn w:val="para2"/>
    <w:next w:val="para0"/>
    <w:pPr>
      <w:outlineLvl w:val="2"/>
    </w:pPr>
    <w:rPr>
      <w:sz w:val="28"/>
      <w:szCs w:val="28"/>
    </w:rPr>
    <w:key w:val="1075"/>
  </w:style>
  <w:style w:type="character" w:styleId="char0" w:default="1">
    <w:name w:val="Default Paragraph Font"/>
  </w:style>
  <w:style w:type="character" w:styleId="char1">
    <w:name w:val="Hyperlink"/>
    <w:rPr>
      <w:color w:val="0000ff"/>
      <w:u w:color="auto" w:val="single"/>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hAnsi="Times New Roman" w:eastAsia="SimSun" w:cs="Times New Roman"/>
        <w:kern w:val="1"/>
        <w:sz w:val="20"/>
        <w:szCs w:val="20"/>
        <w:lang w:val="en-us" w:eastAsia="zh-cn" w:bidi="ar-sa"/>
      </w:rPr>
    </w:rPrDefault>
    <w:pPrDefault>
      <w:pPr>
        <w:widowControl w:val="0"/>
      </w:pPr>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key w:val="1072"/>
  </w:style>
  <w:style w:type="paragraph" w:styleId="para1">
    <w:name w:val="heading 1"/>
    <w:qFormat/>
    <w:basedOn w:val="para0"/>
    <w:next w:val="para0"/>
    <w:pPr>
      <w:spacing w:before="240" w:after="60"/>
      <w:keepNext/>
      <w:outlineLvl w:val="0"/>
      <w:keepLines/>
    </w:pPr>
    <w:rPr>
      <w:rFonts w:ascii="Arial" w:hAnsi="Arial" w:cs="Arial"/>
      <w:b/>
      <w:bCs/>
      <w:sz w:val="36"/>
      <w:szCs w:val="36"/>
    </w:rPr>
    <w:key w:val="1073"/>
  </w:style>
  <w:style w:type="paragraph" w:styleId="para2">
    <w:name w:val="heading 2"/>
    <w:qFormat/>
    <w:basedOn w:val="para1"/>
    <w:next w:val="para0"/>
    <w:pPr>
      <w:outlineLvl w:val="1"/>
    </w:pPr>
    <w:rPr>
      <w:sz w:val="32"/>
      <w:szCs w:val="32"/>
    </w:rPr>
    <w:key w:val="1074"/>
  </w:style>
  <w:style w:type="paragraph" w:styleId="para3">
    <w:name w:val="heading 3"/>
    <w:qFormat/>
    <w:basedOn w:val="para2"/>
    <w:next w:val="para0"/>
    <w:pPr>
      <w:outlineLvl w:val="2"/>
    </w:pPr>
    <w:rPr>
      <w:sz w:val="28"/>
      <w:szCs w:val="28"/>
    </w:rPr>
    <w:key w:val="1075"/>
  </w:style>
  <w:style w:type="character" w:styleId="char0" w:default="1">
    <w:name w:val="Default Paragraph Font"/>
  </w:style>
  <w:style w:type="character" w:styleId="char1">
    <w:name w:val="Hyperlink"/>
    <w:rPr>
      <w:color w:val="0000ff"/>
      <w:u w:color="auto" w:val="single"/>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http://qsl.net/hiarc" TargetMode="External"/><Relationship Id="rId9" Type="http://schemas.openxmlformats.org/officeDocument/2006/relationships/hyperlink" Target="http://www.qsl.net/hiarc" TargetMode="External"/><Relationship Id="rId10" Type="http://schemas.openxmlformats.org/officeDocument/2006/relationships/hyperlink" Target="https://sites.google.com/site/hiarcfieldday2013/" TargetMode="External"/><Relationship Id="rId11" Type="http://schemas.openxmlformats.org/officeDocument/2006/relationships/hyperlink" Target="https://www.google.com/maps/search/1115+N+Courtenay+Pkwy,+Merritt+Island,+FL?entry=gmail&amp;source=g" TargetMode="External"/><Relationship Id="rId12" Type="http://schemas.openxmlformats.org/officeDocument/2006/relationships/hyperlink" Target="https://www.google.com/maps/@27.9290826,-80.5303419,164m/data=!3m1!1e3" TargetMode="External"/><Relationship Id="rId13" Type="http://schemas.openxmlformats.org/officeDocument/2006/relationships/hyperlink" Target="http://www.arrl.org/files/file/Field-Day/2019/2019-Field-Day-Packet-Complete.pdf" TargetMode="External"/><Relationship Id="rId14" Type="http://schemas.openxmlformats.org/officeDocument/2006/relationships/hyperlink" Target="http://www.leg.state.fl.us/statutes/index.cfm?App_mode=Display_Statute&amp;URL=0300-0399/0316/Sections/0316.305.html" TargetMode="External"/><Relationship Id="rId15" Type="http://schemas.openxmlformats.org/officeDocument/2006/relationships/hyperlink" Target="https://archive.org/details/Antenna.Theory.Analysis.and.Design3rd.Edition/page/n7" TargetMode="External"/><Relationship Id="rId16" Type="http://schemas.openxmlformats.org/officeDocument/2006/relationships/hyperlink" Target="https://zackrauen.com/PublicFiles/School/Textbooks/EE381_FieldsAndWaves.pdf" TargetMode="External"/><Relationship Id="rId17" Type="http://schemas.openxmlformats.org/officeDocument/2006/relationships/hyperlink" Target="https://pdfpiw.uspto.gov/.piw" TargetMode="External"/><Relationship Id="rId18" Type="http://schemas.openxmlformats.org/officeDocument/2006/relationships/image" Target="media/image1.jpeg"/><Relationship Id="rId19" Type="http://schemas.openxmlformats.org/officeDocument/2006/relationships/hyperlink" Target="https://en.wikipedia.org/wiki/Slinky" TargetMode="External"/><Relationship Id="rId20" Type="http://schemas.openxmlformats.org/officeDocument/2006/relationships/hyperlink" Target="https://www.YouTube.com/watch?reload=9&amp;v=5vqSX40seqA" TargetMode="External"/><Relationship Id="rId21" Type="http://schemas.openxmlformats.org/officeDocument/2006/relationships/image" Target="media/image2.png"/><Relationship Id="rId22" Type="http://schemas.openxmlformats.org/officeDocument/2006/relationships/image" Target="media/image3.png"/><Relationship Id="rId23" Type="http://schemas.openxmlformats.org/officeDocument/2006/relationships/image" Target="media/image4.png"/><Relationship Id="rId24" Type="http://schemas.openxmlformats.org/officeDocument/2006/relationships/hyperlink" Target="http://www.srh.weather.gov/mlb/skywarn.html" TargetMode="External"/><Relationship Id="rId25" Type="http://schemas.openxmlformats.org/officeDocument/2006/relationships/hyperlink" Target="mailto:scott.spratt@noaa.gov" TargetMode="External"/><Relationship Id="rId26" Type="http://schemas.openxmlformats.org/officeDocument/2006/relationships/hyperlink" Target="https://skywarn-winter-park-basic-051319.eventbrite.com" TargetMode="External"/><Relationship Id="rId27" Type="http://schemas.openxmlformats.org/officeDocument/2006/relationships/hyperlink" Target="https://skywarn-tavares-basic-071319.eventbrite.com" TargetMode="External"/><Relationship Id="rId28" Type="http://schemas.openxmlformats.org/officeDocument/2006/relationships/hyperlink" Target="https://skywarn-tavares-advanced-071319.eventbrite.com" TargetMode="External"/><Relationship Id="rId29" Type="http://schemas.openxmlformats.org/officeDocument/2006/relationships/hyperlink" Target="https://skywarn-fort-pierce-basic-071919.eventbrite.com" TargetMode="External"/><Relationship Id="rId30" Type="http://schemas.openxmlformats.org/officeDocument/2006/relationships/hyperlink" Target="https://skywarn-fort-pierce-advanced-071919.eventbrite.com" TargetMode="External"/><Relationship Id="rId31" Type="http://schemas.openxmlformats.org/officeDocument/2006/relationships/hyperlink" Target="https://skywarn-rockledge-basic-082419.eventbrite.com" TargetMode="External"/><Relationship Id="rId32" Type="http://schemas.openxmlformats.org/officeDocument/2006/relationships/hyperlink" Target="https://skywarn-rockledge-advanced-082419.eventbrite.com" TargetMode="External"/><Relationship Id="rId33" Type="http://schemas.openxmlformats.org/officeDocument/2006/relationships/hyperlink" Target="https://skywarn-PSL-basic-102219.eventbrite.com" TargetMode="External"/><Relationship Id="rId34" Type="http://schemas.openxmlformats.org/officeDocument/2006/relationships/hyperlink" Target="https://skywarn-PSL-advanced-110519.eventbrite.com" TargetMode="External"/><Relationship Id="rId35" Type="http://schemas.openxmlformats.org/officeDocument/2006/relationships/hyperlink" Target="http://www.weather.gov/mlb" TargetMode="External"/><Relationship Id="rId36" Type="http://schemas.openxmlformats.org/officeDocument/2006/relationships/image" Target="media/image5.png"/><Relationship Id="rId37" Type="http://schemas.openxmlformats.org/officeDocument/2006/relationships/image" Target="media/image6.png"/><Relationship Id="rId38" Type="http://schemas.openxmlformats.org/officeDocument/2006/relationships/image" Target="media/image7.png"/><Relationship Id="rId39" Type="http://schemas.openxmlformats.org/officeDocument/2006/relationships/image" Target="media/image8.png"/><Relationship Id="rId40" Type="http://schemas.openxmlformats.org/officeDocument/2006/relationships/image" Target="media/image9.png"/><Relationship Id="rId41" Type="http://schemas.openxmlformats.org/officeDocument/2006/relationships/image" Target="media/image10.png"/><Relationship Id="rId42" Type="http://schemas.openxmlformats.org/officeDocument/2006/relationships/image" Target="media/image11.png"/><Relationship Id="rId43" Type="http://schemas.openxmlformats.org/officeDocument/2006/relationships/image" Target="media/image12.png"/><Relationship Id="rId44" Type="http://schemas.openxmlformats.org/officeDocument/2006/relationships/image" Target="media/image13.png"/><Relationship Id="rId45" Type="http://schemas.openxmlformats.org/officeDocument/2006/relationships/image" Target="media/image14.png"/><Relationship Id="rId46" Type="http://schemas.openxmlformats.org/officeDocument/2006/relationships/image" Target="media/image15.png"/><Relationship Id="rId47"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D5D5D5"/>
      </a:dk1>
      <a:lt1>
        <a:sysClr val="window" lastClr="494949"/>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SimSun"/>
        <a:cs typeface="Arial"/>
      </a:majorFont>
      <a:minorFont>
        <a:latin typeface="Times New Roman"/>
        <a:ea typeface="SimSu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2018 rev.962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3</cp:revision>
  <dcterms:created xsi:type="dcterms:W3CDTF">2019-06-11T13:45:50Z</dcterms:created>
  <dcterms:modified xsi:type="dcterms:W3CDTF">2019-06-11T15:17:14Z</dcterms:modified>
</cp:coreProperties>
</file>